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1EA5A" w14:textId="77777777" w:rsidR="00735528" w:rsidRDefault="00735528" w:rsidP="000A73BA">
      <w:pPr>
        <w:sectPr w:rsidR="00735528" w:rsidSect="000A73BA">
          <w:headerReference w:type="default" r:id="rId8"/>
          <w:footerReference w:type="default" r:id="rId9"/>
          <w:footnotePr>
            <w:numRestart w:val="eachSect"/>
          </w:footnotePr>
          <w:pgSz w:w="11899" w:h="16838" w:code="9"/>
          <w:pgMar w:top="1758" w:right="1191" w:bottom="1304" w:left="1701" w:header="567" w:footer="567" w:gutter="0"/>
          <w:cols w:space="708"/>
          <w:docGrid w:linePitch="272"/>
        </w:sectPr>
      </w:pPr>
    </w:p>
    <w:p w14:paraId="5CA3D22A" w14:textId="718B34AD" w:rsidR="00735528" w:rsidRPr="00E35863" w:rsidRDefault="00E97386" w:rsidP="00C41928">
      <w:pPr>
        <w:pStyle w:val="Title"/>
      </w:pPr>
      <w:r>
        <w:t xml:space="preserve">The Co-op Foundation </w:t>
      </w:r>
      <w:r w:rsidR="002B2214">
        <w:fldChar w:fldCharType="begin"/>
      </w:r>
      <w:r w:rsidR="002B2214">
        <w:instrText xml:space="preserve"> DOCPROPERTY  Title \* MERGEFORMAT </w:instrText>
      </w:r>
      <w:r w:rsidR="002B2214">
        <w:fldChar w:fldCharType="separate"/>
      </w:r>
      <w:r w:rsidR="006D0B6A">
        <w:t xml:space="preserve">#iwill </w:t>
      </w:r>
      <w:r w:rsidR="00E23E62">
        <w:t>Fund</w:t>
      </w:r>
      <w:r w:rsidR="006D0B6A">
        <w:t xml:space="preserve"> </w:t>
      </w:r>
      <w:r>
        <w:br/>
        <w:t>Year 1 m</w:t>
      </w:r>
      <w:r w:rsidR="006D0B6A">
        <w:t xml:space="preserve">id-year key learnings </w:t>
      </w:r>
      <w:r>
        <w:t>summary</w:t>
      </w:r>
      <w:r w:rsidR="002B2214">
        <w:fldChar w:fldCharType="end"/>
      </w:r>
    </w:p>
    <w:p w14:paraId="77772D05" w14:textId="41468F1F" w:rsidR="00653FF4" w:rsidRDefault="000529B0" w:rsidP="00653FF4">
      <w:pPr>
        <w:pStyle w:val="Heading1"/>
      </w:pPr>
      <w:r>
        <w:t>I</w:t>
      </w:r>
      <w:r w:rsidR="001C09EF" w:rsidRPr="001C09EF">
        <w:t xml:space="preserve">ntroduction </w:t>
      </w:r>
    </w:p>
    <w:p w14:paraId="4AED5CBF" w14:textId="7461B04D" w:rsidR="00653FF4" w:rsidRPr="00653FF4" w:rsidRDefault="00653FF4" w:rsidP="00653FF4">
      <w:pPr>
        <w:pStyle w:val="Heading2"/>
      </w:pPr>
      <w:r>
        <w:t>Co-op</w:t>
      </w:r>
      <w:r w:rsidR="004E4A07">
        <w:t xml:space="preserve"> Foundation and the</w:t>
      </w:r>
      <w:r>
        <w:t xml:space="preserve"> #iwill </w:t>
      </w:r>
      <w:r w:rsidR="00E23E62">
        <w:t>Fund</w:t>
      </w:r>
    </w:p>
    <w:p w14:paraId="0A3DD29B" w14:textId="1113BD3A" w:rsidR="00736E33" w:rsidRDefault="00B93EEC" w:rsidP="00AC1D75">
      <w:pPr>
        <w:pStyle w:val="BodyText"/>
      </w:pPr>
      <w:r w:rsidRPr="00283E3A">
        <w:rPr>
          <w:szCs w:val="20"/>
        </w:rPr>
        <w:t>#iwill is a national campaign to promote social action among young people</w:t>
      </w:r>
      <w:r w:rsidR="00E61ACD">
        <w:rPr>
          <w:szCs w:val="20"/>
        </w:rPr>
        <w:t>, set up by</w:t>
      </w:r>
      <w:r w:rsidRPr="00283E3A">
        <w:rPr>
          <w:szCs w:val="20"/>
        </w:rPr>
        <w:t xml:space="preserve"> the Department for Digital, Culture, Media and Sport </w:t>
      </w:r>
      <w:r w:rsidR="00F35F25">
        <w:rPr>
          <w:szCs w:val="20"/>
        </w:rPr>
        <w:t xml:space="preserve">(DCMS) </w:t>
      </w:r>
      <w:r w:rsidRPr="00283E3A">
        <w:rPr>
          <w:szCs w:val="20"/>
        </w:rPr>
        <w:t>and the National Lottery Community Fund</w:t>
      </w:r>
      <w:r w:rsidR="002B2214">
        <w:rPr>
          <w:rStyle w:val="FootnoteReference"/>
          <w:szCs w:val="20"/>
        </w:rPr>
        <w:footnoteReference w:id="1"/>
      </w:r>
      <w:r w:rsidRPr="00283E3A">
        <w:rPr>
          <w:szCs w:val="20"/>
        </w:rPr>
        <w:t xml:space="preserve">. </w:t>
      </w:r>
      <w:r w:rsidR="007D5D88" w:rsidRPr="00283E3A">
        <w:t>The Co-op Foundation i</w:t>
      </w:r>
      <w:r>
        <w:t xml:space="preserve">s one of several organisations that have </w:t>
      </w:r>
      <w:r w:rsidR="00E61ACD">
        <w:t>committed to matching</w:t>
      </w:r>
      <w:r>
        <w:t xml:space="preserve"> a portion of the </w:t>
      </w:r>
      <w:r w:rsidR="007763FC">
        <w:t xml:space="preserve">#iwill </w:t>
      </w:r>
      <w:r w:rsidR="00E23E62">
        <w:t>Fund</w:t>
      </w:r>
      <w:r w:rsidR="00E61ACD">
        <w:t xml:space="preserve"> to distribute among youth social action projects</w:t>
      </w:r>
      <w:r>
        <w:t>. The Co</w:t>
      </w:r>
      <w:r w:rsidR="007763FC">
        <w:t>-</w:t>
      </w:r>
      <w:r>
        <w:t>op</w:t>
      </w:r>
      <w:r w:rsidR="00E61ACD">
        <w:t xml:space="preserve"> Foundation’s </w:t>
      </w:r>
      <w:r>
        <w:t xml:space="preserve">matched </w:t>
      </w:r>
      <w:r w:rsidR="00E23E62">
        <w:t>Fund</w:t>
      </w:r>
      <w:r w:rsidR="007D5D88" w:rsidRPr="00283E3A">
        <w:t xml:space="preserve"> </w:t>
      </w:r>
      <w:r w:rsidR="007D5D88">
        <w:t>aim</w:t>
      </w:r>
      <w:r>
        <w:t>s</w:t>
      </w:r>
      <w:r w:rsidR="007D5D88">
        <w:t xml:space="preserve"> to </w:t>
      </w:r>
      <w:r w:rsidR="007D5D88" w:rsidRPr="00283E3A">
        <w:t>support 7</w:t>
      </w:r>
      <w:r w:rsidR="0047062D">
        <w:t>6</w:t>
      </w:r>
      <w:r w:rsidR="007D5D88" w:rsidRPr="00283E3A">
        <w:t xml:space="preserve"> youth social action projects</w:t>
      </w:r>
      <w:r w:rsidR="001C47FB">
        <w:t xml:space="preserve"> across the UK</w:t>
      </w:r>
      <w:r w:rsidR="007D5D88">
        <w:t xml:space="preserve"> </w:t>
      </w:r>
      <w:r w:rsidR="00E61ACD">
        <w:t>between</w:t>
      </w:r>
      <w:r w:rsidR="007D5D88">
        <w:t xml:space="preserve"> </w:t>
      </w:r>
      <w:r w:rsidR="007D5D88" w:rsidRPr="00283E3A">
        <w:t>2019</w:t>
      </w:r>
      <w:r w:rsidR="00E61ACD">
        <w:t xml:space="preserve"> and </w:t>
      </w:r>
      <w:r w:rsidR="006E1540" w:rsidRPr="00283E3A">
        <w:t>2022</w:t>
      </w:r>
      <w:r w:rsidR="006E1540">
        <w:t>:</w:t>
      </w:r>
      <w:r w:rsidR="00E97386">
        <w:t xml:space="preserve"> </w:t>
      </w:r>
      <w:r w:rsidR="0047062D">
        <w:t>48</w:t>
      </w:r>
      <w:r w:rsidR="00E97386">
        <w:t xml:space="preserve"> projects</w:t>
      </w:r>
      <w:r w:rsidR="0047062D">
        <w:t xml:space="preserve"> in </w:t>
      </w:r>
      <w:r w:rsidR="00031721">
        <w:t>Round 1</w:t>
      </w:r>
      <w:r w:rsidR="00E61ACD">
        <w:t xml:space="preserve"> </w:t>
      </w:r>
      <w:r w:rsidR="0047062D">
        <w:t>and 28</w:t>
      </w:r>
      <w:r w:rsidR="00E97386">
        <w:t xml:space="preserve"> projects</w:t>
      </w:r>
      <w:r w:rsidR="0047062D">
        <w:t xml:space="preserve"> in </w:t>
      </w:r>
      <w:r w:rsidR="00031721">
        <w:t>Round 2</w:t>
      </w:r>
      <w:r w:rsidR="00E97386">
        <w:t xml:space="preserve"> of funding</w:t>
      </w:r>
      <w:r w:rsidR="00E61ACD">
        <w:t xml:space="preserve">. The projects are </w:t>
      </w:r>
      <w:r w:rsidR="007D5D88" w:rsidRPr="00283E3A">
        <w:t xml:space="preserve">grouped into three </w:t>
      </w:r>
      <w:r w:rsidR="00F35F25">
        <w:t xml:space="preserve">thematic </w:t>
      </w:r>
      <w:r w:rsidR="007D5D88" w:rsidRPr="00283E3A">
        <w:t xml:space="preserve">strands: </w:t>
      </w:r>
    </w:p>
    <w:p w14:paraId="27DF2739" w14:textId="191B610D" w:rsidR="00E900B8" w:rsidRDefault="007D20F1" w:rsidP="000161BB">
      <w:pPr>
        <w:pStyle w:val="ListBullet"/>
        <w:spacing w:after="0" w:line="240" w:lineRule="auto"/>
        <w:ind w:left="850" w:hanging="340"/>
      </w:pPr>
      <w:r w:rsidRPr="00BA026F">
        <w:rPr>
          <w:b/>
          <w:bCs/>
        </w:rPr>
        <w:t>S</w:t>
      </w:r>
      <w:r w:rsidR="007D5D88" w:rsidRPr="00BA026F">
        <w:rPr>
          <w:b/>
          <w:bCs/>
        </w:rPr>
        <w:t xml:space="preserve">chool </w:t>
      </w:r>
      <w:r w:rsidRPr="00BA026F">
        <w:rPr>
          <w:b/>
          <w:bCs/>
        </w:rPr>
        <w:t>T</w:t>
      </w:r>
      <w:r w:rsidR="007D5D88" w:rsidRPr="00BA026F">
        <w:rPr>
          <w:b/>
          <w:bCs/>
        </w:rPr>
        <w:t>ransition</w:t>
      </w:r>
      <w:r w:rsidR="00F35F25">
        <w:t>,</w:t>
      </w:r>
      <w:r w:rsidR="00E61ACD">
        <w:t xml:space="preserve"> aimed at supporting </w:t>
      </w:r>
      <w:r w:rsidR="00A70C35">
        <w:t>young people</w:t>
      </w:r>
      <w:r w:rsidR="00891429">
        <w:t xml:space="preserve">s’ wellbeing in the </w:t>
      </w:r>
      <w:r w:rsidR="00A70C35">
        <w:t xml:space="preserve">transition </w:t>
      </w:r>
      <w:r w:rsidR="00E61ACD">
        <w:t xml:space="preserve">from primary school to secondary school </w:t>
      </w:r>
    </w:p>
    <w:p w14:paraId="6E9A440A" w14:textId="6C6B3C0E" w:rsidR="00E900B8" w:rsidRDefault="007D20F1" w:rsidP="000161BB">
      <w:pPr>
        <w:pStyle w:val="ListBullet"/>
        <w:spacing w:after="0" w:line="240" w:lineRule="auto"/>
        <w:ind w:left="850" w:hanging="340"/>
      </w:pPr>
      <w:r w:rsidRPr="00BA026F">
        <w:rPr>
          <w:b/>
          <w:bCs/>
        </w:rPr>
        <w:t>C</w:t>
      </w:r>
      <w:r w:rsidR="007D5D88" w:rsidRPr="00BA026F">
        <w:rPr>
          <w:b/>
          <w:bCs/>
        </w:rPr>
        <w:t xml:space="preserve">ommunity </w:t>
      </w:r>
      <w:r w:rsidRPr="00BA026F">
        <w:rPr>
          <w:b/>
          <w:bCs/>
        </w:rPr>
        <w:t>S</w:t>
      </w:r>
      <w:r w:rsidR="007D5D88" w:rsidRPr="00BA026F">
        <w:rPr>
          <w:b/>
          <w:bCs/>
        </w:rPr>
        <w:t>paces</w:t>
      </w:r>
      <w:r w:rsidR="00F35F25">
        <w:t>,</w:t>
      </w:r>
      <w:r w:rsidR="00E61ACD">
        <w:t xml:space="preserve"> </w:t>
      </w:r>
      <w:r w:rsidR="00E97386">
        <w:t xml:space="preserve">aimed </w:t>
      </w:r>
      <w:r w:rsidR="00F35F25">
        <w:t>at</w:t>
      </w:r>
      <w:r w:rsidR="00E97386">
        <w:t xml:space="preserve"> </w:t>
      </w:r>
      <w:r w:rsidR="00E61ACD">
        <w:t xml:space="preserve">helping young people to </w:t>
      </w:r>
      <w:r w:rsidR="00A70C35">
        <w:t>improve the design and use of community spaces</w:t>
      </w:r>
    </w:p>
    <w:p w14:paraId="1AB8BFDB" w14:textId="68EBC55E" w:rsidR="00E61ACD" w:rsidRDefault="007D20F1" w:rsidP="000161BB">
      <w:pPr>
        <w:pStyle w:val="ListBullet"/>
        <w:spacing w:after="0" w:line="240" w:lineRule="auto"/>
        <w:ind w:left="850" w:hanging="340"/>
      </w:pPr>
      <w:r w:rsidRPr="00BA026F">
        <w:rPr>
          <w:b/>
          <w:bCs/>
        </w:rPr>
        <w:t>Bereavement Support</w:t>
      </w:r>
      <w:r w:rsidR="006E1540">
        <w:t>,</w:t>
      </w:r>
      <w:r w:rsidR="00A70C35">
        <w:t xml:space="preserve"> </w:t>
      </w:r>
      <w:r w:rsidR="00E97386">
        <w:t xml:space="preserve">aimed at </w:t>
      </w:r>
      <w:r w:rsidR="00891429">
        <w:t>providing young people safe spaces and support to share their experience of bereavement</w:t>
      </w:r>
    </w:p>
    <w:p w14:paraId="7017C109" w14:textId="1CD39497" w:rsidR="00653FF4" w:rsidRDefault="00E900B8" w:rsidP="00653FF4">
      <w:pPr>
        <w:pStyle w:val="Heading2"/>
      </w:pPr>
      <w:r>
        <w:t xml:space="preserve">Co-op #iwill </w:t>
      </w:r>
      <w:r w:rsidR="00E23E62">
        <w:t>Fund</w:t>
      </w:r>
      <w:r>
        <w:t xml:space="preserve"> e</w:t>
      </w:r>
      <w:r w:rsidR="00653FF4">
        <w:t>valuation</w:t>
      </w:r>
      <w:r w:rsidR="00317498">
        <w:t xml:space="preserve"> </w:t>
      </w:r>
    </w:p>
    <w:p w14:paraId="1046A0A1" w14:textId="7D2831F1" w:rsidR="00036E27" w:rsidRDefault="00E900B8">
      <w:pPr>
        <w:pStyle w:val="BodyText"/>
      </w:pPr>
      <w:r>
        <w:t xml:space="preserve">The Co-op Foundation commissioned </w:t>
      </w:r>
      <w:r w:rsidR="003F5179">
        <w:t>IFF Research</w:t>
      </w:r>
      <w:r>
        <w:t>, an independent research and evaluation agency, to evaluate</w:t>
      </w:r>
      <w:r w:rsidR="003F5179">
        <w:t xml:space="preserve"> their matched #iwill </w:t>
      </w:r>
      <w:r w:rsidR="00E23E62">
        <w:t>Fund</w:t>
      </w:r>
      <w:r w:rsidR="003F5179">
        <w:t xml:space="preserve">. </w:t>
      </w:r>
      <w:r>
        <w:t xml:space="preserve">As the Co-op’s evaluation partner, </w:t>
      </w:r>
      <w:r w:rsidR="003F5179">
        <w:t xml:space="preserve">IFF are helping to </w:t>
      </w:r>
      <w:r w:rsidR="003F5179" w:rsidRPr="00736E33">
        <w:t>capture evidence to understand the impacts projects are having on young people and the wider community</w:t>
      </w:r>
      <w:r>
        <w:t>, to</w:t>
      </w:r>
      <w:r w:rsidR="003F5179" w:rsidRPr="00736E33">
        <w:t xml:space="preserve"> identify what </w:t>
      </w:r>
      <w:r w:rsidR="003F5179">
        <w:t xml:space="preserve">is working well and to </w:t>
      </w:r>
      <w:r w:rsidR="003F5179" w:rsidRPr="00736E33">
        <w:t>summarise key learnings</w:t>
      </w:r>
      <w:r w:rsidR="003F5179" w:rsidRPr="00736E33">
        <w:rPr>
          <w:b/>
          <w:bCs/>
        </w:rPr>
        <w:t xml:space="preserve"> </w:t>
      </w:r>
      <w:r w:rsidR="003F5179" w:rsidRPr="00736E33">
        <w:t>for projects to</w:t>
      </w:r>
      <w:r>
        <w:t xml:space="preserve"> consider</w:t>
      </w:r>
      <w:r w:rsidR="003F5179" w:rsidRPr="00736E33">
        <w:t xml:space="preserve"> implement</w:t>
      </w:r>
      <w:r>
        <w:t>ing to bring about intended impacts</w:t>
      </w:r>
      <w:r w:rsidR="003F5179">
        <w:t xml:space="preserve">. </w:t>
      </w:r>
      <w:r>
        <w:t xml:space="preserve">At the evaluation start, </w:t>
      </w:r>
      <w:r w:rsidR="00317498">
        <w:t xml:space="preserve">IFF worked with </w:t>
      </w:r>
      <w:r>
        <w:t xml:space="preserve">the </w:t>
      </w:r>
      <w:r w:rsidR="00317498">
        <w:t>Co-op</w:t>
      </w:r>
      <w:r>
        <w:t xml:space="preserve"> and stakeholders representing the three project strands</w:t>
      </w:r>
      <w:r w:rsidR="00317498">
        <w:t xml:space="preserve"> to </w:t>
      </w:r>
      <w:r>
        <w:t xml:space="preserve">set out the impacts </w:t>
      </w:r>
      <w:r w:rsidR="00E97386">
        <w:t>the Co-op</w:t>
      </w:r>
      <w:r>
        <w:t xml:space="preserve"> hopes its </w:t>
      </w:r>
      <w:r w:rsidR="00E23E62">
        <w:t>Fund</w:t>
      </w:r>
      <w:r>
        <w:t xml:space="preserve"> will </w:t>
      </w:r>
      <w:r w:rsidR="00A42E9E">
        <w:t>achieve. These impacts</w:t>
      </w:r>
      <w:r w:rsidR="007A43E0">
        <w:t>, along with</w:t>
      </w:r>
      <w:r w:rsidR="002244E8">
        <w:t xml:space="preserve"> how those impacts </w:t>
      </w:r>
      <w:r w:rsidR="00E242CC">
        <w:t xml:space="preserve">are expected </w:t>
      </w:r>
      <w:r w:rsidR="002244E8">
        <w:t>to come about, were de</w:t>
      </w:r>
      <w:r w:rsidR="007A43E0">
        <w:t xml:space="preserve">veloped </w:t>
      </w:r>
      <w:r w:rsidR="002244E8">
        <w:t>in</w:t>
      </w:r>
      <w:r w:rsidR="007A43E0">
        <w:t>to</w:t>
      </w:r>
      <w:r w:rsidR="002244E8">
        <w:t xml:space="preserve"> a </w:t>
      </w:r>
      <w:r w:rsidR="00A42E9E">
        <w:t>t</w:t>
      </w:r>
      <w:r w:rsidR="002244E8">
        <w:t>heory of change</w:t>
      </w:r>
      <w:r w:rsidR="00A42E9E">
        <w:t xml:space="preserve"> for each strand</w:t>
      </w:r>
      <w:r w:rsidR="002244E8">
        <w:t>.</w:t>
      </w:r>
      <w:r w:rsidR="00A42E9E">
        <w:t xml:space="preserve"> See the appendix for the theories of change</w:t>
      </w:r>
      <w:r w:rsidR="00036E27">
        <w:t>.</w:t>
      </w:r>
    </w:p>
    <w:p w14:paraId="2C59F3F5" w14:textId="09C4F6CC" w:rsidR="00653FF4" w:rsidRDefault="00E97386" w:rsidP="00653FF4">
      <w:pPr>
        <w:pStyle w:val="Heading2"/>
      </w:pPr>
      <w:r>
        <w:t xml:space="preserve">Reading </w:t>
      </w:r>
      <w:r w:rsidR="00653FF4">
        <w:t xml:space="preserve">this </w:t>
      </w:r>
      <w:r>
        <w:t>summary</w:t>
      </w:r>
    </w:p>
    <w:p w14:paraId="316AF21F" w14:textId="229A538C" w:rsidR="00A912D9" w:rsidRDefault="00342B4A" w:rsidP="00BA026F">
      <w:pPr>
        <w:pStyle w:val="BodyText"/>
      </w:pPr>
      <w:r>
        <w:t>Th</w:t>
      </w:r>
      <w:r w:rsidR="00CD7DD3">
        <w:t>i</w:t>
      </w:r>
      <w:r w:rsidR="00036E27">
        <w:t>s</w:t>
      </w:r>
      <w:r w:rsidR="00A42E9E">
        <w:t xml:space="preserve"> Key Learnings</w:t>
      </w:r>
      <w:r w:rsidR="00036E27">
        <w:t xml:space="preserve"> </w:t>
      </w:r>
      <w:r w:rsidR="00E97386">
        <w:t xml:space="preserve">summary shares findings from </w:t>
      </w:r>
      <w:r w:rsidR="00CD7DD3">
        <w:t>the first</w:t>
      </w:r>
      <w:r w:rsidR="000161BB">
        <w:t xml:space="preserve"> six months (March – August 2021) of funded project delivery in Year 1</w:t>
      </w:r>
      <w:r w:rsidR="00CD7DD3">
        <w:t xml:space="preserve"> </w:t>
      </w:r>
      <w:r w:rsidR="00036E27">
        <w:t>(2020/21)</w:t>
      </w:r>
      <w:r w:rsidR="00CD7DD3">
        <w:t>.</w:t>
      </w:r>
      <w:r w:rsidR="00036E27">
        <w:t xml:space="preserve"> </w:t>
      </w:r>
      <w:r w:rsidR="006E1540">
        <w:t>It</w:t>
      </w:r>
      <w:r w:rsidR="008F02F8">
        <w:t xml:space="preserve"> summarises what we know about </w:t>
      </w:r>
      <w:r w:rsidR="00F144CA">
        <w:t>the progress</w:t>
      </w:r>
      <w:r w:rsidR="007906B9">
        <w:t xml:space="preserve"> that</w:t>
      </w:r>
      <w:r w:rsidR="00F144CA">
        <w:t xml:space="preserve"> </w:t>
      </w:r>
      <w:r w:rsidR="00CB6597">
        <w:t xml:space="preserve">projects have </w:t>
      </w:r>
      <w:r w:rsidR="00F144CA">
        <w:t>made towards</w:t>
      </w:r>
      <w:r w:rsidR="00CB6597">
        <w:t xml:space="preserve"> the</w:t>
      </w:r>
      <w:r w:rsidR="00F144CA">
        <w:t xml:space="preserve"> intended outcomes</w:t>
      </w:r>
      <w:r w:rsidR="00A42E9E">
        <w:t xml:space="preserve"> of the Co-op’s #iwill </w:t>
      </w:r>
      <w:r w:rsidR="00E23E62">
        <w:t>Fund</w:t>
      </w:r>
      <w:r w:rsidR="007906B9">
        <w:t xml:space="preserve">. </w:t>
      </w:r>
      <w:r w:rsidR="00A42E9E">
        <w:t>We</w:t>
      </w:r>
      <w:r w:rsidR="007906B9">
        <w:t xml:space="preserve"> </w:t>
      </w:r>
      <w:r w:rsidR="00A42E9E">
        <w:t xml:space="preserve">also discuss key </w:t>
      </w:r>
      <w:r w:rsidR="00CB6597">
        <w:t xml:space="preserve">successes, </w:t>
      </w:r>
      <w:r w:rsidR="007906B9">
        <w:t>challenges</w:t>
      </w:r>
      <w:r w:rsidR="00CB6597">
        <w:t xml:space="preserve"> and learnings from </w:t>
      </w:r>
      <w:r w:rsidR="00F144CA">
        <w:t>project delivery experiences</w:t>
      </w:r>
      <w:r w:rsidR="007906B9">
        <w:t>.</w:t>
      </w:r>
      <w:r w:rsidR="00A42E9E">
        <w:t xml:space="preserve"> </w:t>
      </w:r>
      <w:r w:rsidR="001801DA">
        <w:t xml:space="preserve">Evidence captured in this </w:t>
      </w:r>
      <w:r w:rsidR="00A912D9">
        <w:t xml:space="preserve">summary </w:t>
      </w:r>
      <w:r w:rsidR="00CB6597">
        <w:t>is based on 21 grant manager interviews</w:t>
      </w:r>
      <w:r w:rsidR="006E1540">
        <w:t>,</w:t>
      </w:r>
      <w:r w:rsidR="000161BB">
        <w:t xml:space="preserve"> </w:t>
      </w:r>
      <w:r w:rsidR="00CB6597">
        <w:t xml:space="preserve">six case studies involving </w:t>
      </w:r>
      <w:r w:rsidR="00A912D9">
        <w:t xml:space="preserve">project </w:t>
      </w:r>
      <w:r w:rsidR="00CB6597">
        <w:t xml:space="preserve">delivery staff and </w:t>
      </w:r>
      <w:r w:rsidR="00A912D9">
        <w:t xml:space="preserve">participating </w:t>
      </w:r>
      <w:r w:rsidR="00CB6597">
        <w:t>young people</w:t>
      </w:r>
      <w:r w:rsidR="00031721">
        <w:t>,</w:t>
      </w:r>
      <w:r w:rsidR="00CB6597">
        <w:t xml:space="preserve"> and</w:t>
      </w:r>
      <w:r w:rsidR="008103DF">
        <w:t xml:space="preserve"> </w:t>
      </w:r>
      <w:r w:rsidR="00CB6597">
        <w:t xml:space="preserve">information captured in the </w:t>
      </w:r>
      <w:r w:rsidR="007906B9">
        <w:t xml:space="preserve">Co-op Foundation’s </w:t>
      </w:r>
      <w:r w:rsidR="00CB6597">
        <w:t>monitoring form</w:t>
      </w:r>
      <w:r w:rsidR="00031721">
        <w:t xml:space="preserve"> </w:t>
      </w:r>
      <w:r w:rsidR="00CB6597">
        <w:t xml:space="preserve">between </w:t>
      </w:r>
      <w:r w:rsidR="008103DF">
        <w:t>May and August 2021</w:t>
      </w:r>
      <w:r w:rsidR="00031721">
        <w:t xml:space="preserve"> from 24 out of 48 Round 1 projects</w:t>
      </w:r>
      <w:r w:rsidR="00CB6597">
        <w:t>.</w:t>
      </w:r>
    </w:p>
    <w:p w14:paraId="66246CCF" w14:textId="02B45CA4" w:rsidR="0072410B" w:rsidRPr="00145677" w:rsidRDefault="0072410B" w:rsidP="000161BB">
      <w:pPr>
        <w:pStyle w:val="BodyText"/>
      </w:pPr>
    </w:p>
    <w:p w14:paraId="723197EA" w14:textId="11DFF907" w:rsidR="001C09EF" w:rsidRPr="00B01F0E" w:rsidRDefault="001C09EF" w:rsidP="001C09EF">
      <w:pPr>
        <w:pStyle w:val="Heading1"/>
      </w:pPr>
      <w:r w:rsidRPr="00B01F0E">
        <w:lastRenderedPageBreak/>
        <w:t>Progress towards intended outcomes</w:t>
      </w:r>
    </w:p>
    <w:p w14:paraId="013EEC15" w14:textId="018A28A7" w:rsidR="001767BB" w:rsidRDefault="001767BB" w:rsidP="0051703E">
      <w:pPr>
        <w:pStyle w:val="BodyText"/>
      </w:pPr>
      <w:r>
        <w:t>The Co-op Foundation</w:t>
      </w:r>
      <w:r w:rsidR="00EA6E10">
        <w:t xml:space="preserve"> intends for</w:t>
      </w:r>
      <w:r w:rsidR="002D3727">
        <w:t xml:space="preserve"> young people engaging </w:t>
      </w:r>
      <w:r w:rsidR="007906B9">
        <w:t>with</w:t>
      </w:r>
      <w:r w:rsidR="00EA6E10">
        <w:t xml:space="preserve"> </w:t>
      </w:r>
      <w:r w:rsidR="002D3727">
        <w:t xml:space="preserve">projects funded by </w:t>
      </w:r>
      <w:r w:rsidR="00EA6E10">
        <w:t>its</w:t>
      </w:r>
      <w:r>
        <w:t xml:space="preserve"> </w:t>
      </w:r>
      <w:r w:rsidR="005D4804">
        <w:t xml:space="preserve">#iwill </w:t>
      </w:r>
      <w:r w:rsidR="00E23E62">
        <w:t>Fund</w:t>
      </w:r>
      <w:r w:rsidR="00EA6E10">
        <w:t xml:space="preserve"> to achieve </w:t>
      </w:r>
      <w:r w:rsidR="00A74896">
        <w:t>seven</w:t>
      </w:r>
      <w:r>
        <w:t xml:space="preserve"> outcome</w:t>
      </w:r>
      <w:r w:rsidR="000161BB">
        <w:t xml:space="preserve"> themes</w:t>
      </w:r>
      <w:r w:rsidR="002D3727">
        <w:t xml:space="preserve">, and for the wider communities their projects are based </w:t>
      </w:r>
      <w:r w:rsidR="007906B9">
        <w:t xml:space="preserve">in </w:t>
      </w:r>
      <w:r w:rsidR="002D3727">
        <w:t>to achieve three outcome</w:t>
      </w:r>
      <w:r w:rsidR="00350CBB">
        <w:t xml:space="preserve"> themes</w:t>
      </w:r>
      <w:r w:rsidR="00EC4DD1">
        <w:t xml:space="preserve">, </w:t>
      </w:r>
      <w:r w:rsidR="000A60E9">
        <w:t>summarised</w:t>
      </w:r>
      <w:r w:rsidR="00007982">
        <w:t xml:space="preserve"> and defined in the table</w:t>
      </w:r>
      <w:r w:rsidR="00EC4DD1">
        <w:t xml:space="preserve"> below.</w:t>
      </w:r>
      <w:r w:rsidR="00A912D9">
        <w:t xml:space="preserve"> </w:t>
      </w:r>
    </w:p>
    <w:tbl>
      <w:tblPr>
        <w:tblStyle w:val="IFFtable"/>
        <w:tblW w:w="9062" w:type="dxa"/>
        <w:tblLook w:val="06A0" w:firstRow="1" w:lastRow="0" w:firstColumn="1" w:lastColumn="0" w:noHBand="1" w:noVBand="1"/>
      </w:tblPr>
      <w:tblGrid>
        <w:gridCol w:w="1706"/>
        <w:gridCol w:w="6184"/>
        <w:gridCol w:w="1172"/>
      </w:tblGrid>
      <w:tr w:rsidR="00EC4DD1" w:rsidRPr="00EC4DD1" w14:paraId="3B8E29C9" w14:textId="3AD1A0C7" w:rsidTr="0001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2978343" w14:textId="77777777" w:rsidR="00B4372E" w:rsidRPr="000161BB" w:rsidRDefault="00B4372E" w:rsidP="00E8584D">
            <w:pPr>
              <w:rPr>
                <w:rFonts w:cstheme="minorHAnsi"/>
                <w:color w:val="auto"/>
              </w:rPr>
            </w:pPr>
            <w:bookmarkStart w:id="0" w:name="_Hlk83836810"/>
            <w:r w:rsidRPr="000161BB">
              <w:rPr>
                <w:rFonts w:eastAsia="Calibri" w:cstheme="minorHAnsi"/>
                <w:b/>
                <w:bCs/>
                <w:color w:val="auto"/>
              </w:rPr>
              <w:t>Outcome theme</w:t>
            </w:r>
          </w:p>
        </w:tc>
        <w:tc>
          <w:tcPr>
            <w:tcW w:w="6184" w:type="dxa"/>
          </w:tcPr>
          <w:p w14:paraId="09935857" w14:textId="77777777" w:rsidR="00B4372E" w:rsidRPr="00EC4DD1" w:rsidRDefault="00B4372E" w:rsidP="00E8584D">
            <w:pPr>
              <w:spacing w:line="259" w:lineRule="auto"/>
              <w:cnfStyle w:val="100000000000" w:firstRow="1" w:lastRow="0" w:firstColumn="0" w:lastColumn="0" w:oddVBand="0" w:evenVBand="0" w:oddHBand="0" w:evenHBand="0" w:firstRowFirstColumn="0" w:firstRowLastColumn="0" w:lastRowFirstColumn="0" w:lastRowLastColumn="0"/>
              <w:rPr>
                <w:rFonts w:eastAsia="Calibri" w:cstheme="minorHAnsi"/>
                <w:b/>
                <w:bCs/>
                <w:color w:val="auto"/>
              </w:rPr>
            </w:pPr>
            <w:r w:rsidRPr="00EC4DD1">
              <w:rPr>
                <w:rFonts w:eastAsia="Calibri" w:cstheme="minorHAnsi"/>
                <w:b/>
                <w:bCs/>
                <w:color w:val="auto"/>
              </w:rPr>
              <w:t xml:space="preserve">Core outcomes we hope to see achieved by projects. </w:t>
            </w:r>
          </w:p>
          <w:p w14:paraId="73090192" w14:textId="50B03656" w:rsidR="00B4372E" w:rsidRPr="00EC4DD1" w:rsidRDefault="00B4372E" w:rsidP="00EC4DD1">
            <w:pPr>
              <w:spacing w:line="259"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c>
          <w:tcPr>
            <w:tcW w:w="1172" w:type="dxa"/>
          </w:tcPr>
          <w:p w14:paraId="1711C025" w14:textId="1B45346E" w:rsidR="00B4372E" w:rsidRPr="00EC4DD1" w:rsidRDefault="00B4372E" w:rsidP="00E8584D">
            <w:pPr>
              <w:spacing w:line="259" w:lineRule="auto"/>
              <w:cnfStyle w:val="100000000000" w:firstRow="1" w:lastRow="0" w:firstColumn="0" w:lastColumn="0" w:oddVBand="0" w:evenVBand="0" w:oddHBand="0" w:evenHBand="0" w:firstRowFirstColumn="0" w:firstRowLastColumn="0" w:lastRowFirstColumn="0" w:lastRowLastColumn="0"/>
              <w:rPr>
                <w:rFonts w:eastAsia="Calibri" w:cstheme="minorHAnsi"/>
                <w:b/>
                <w:bCs/>
                <w:color w:val="auto"/>
              </w:rPr>
            </w:pPr>
            <w:r w:rsidRPr="00EC4DD1">
              <w:rPr>
                <w:rFonts w:eastAsia="Calibri" w:cstheme="minorHAnsi"/>
                <w:b/>
                <w:bCs/>
                <w:color w:val="auto"/>
              </w:rPr>
              <w:t>Expected timeframe</w:t>
            </w:r>
            <w:r w:rsidR="00007982">
              <w:rPr>
                <w:rFonts w:eastAsia="Calibri" w:cstheme="minorHAnsi"/>
                <w:b/>
                <w:bCs/>
                <w:color w:val="auto"/>
              </w:rPr>
              <w:t xml:space="preserve"> </w:t>
            </w:r>
          </w:p>
        </w:tc>
      </w:tr>
      <w:tr w:rsidR="00007982" w:rsidRPr="00EC4DD1" w14:paraId="61E395F2" w14:textId="77777777" w:rsidTr="000161BB">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DF3EA" w:themeFill="accent3" w:themeFillTint="33"/>
          </w:tcPr>
          <w:p w14:paraId="63B2EAB9" w14:textId="6750E6C4" w:rsidR="00007982" w:rsidRPr="000161BB" w:rsidRDefault="00007982" w:rsidP="00EC4DD1">
            <w:pPr>
              <w:rPr>
                <w:rFonts w:eastAsia="Calibri" w:cstheme="minorHAnsi"/>
                <w:color w:val="auto"/>
                <w:szCs w:val="20"/>
                <w:lang w:eastAsia="zh-TW"/>
              </w:rPr>
            </w:pPr>
            <w:r w:rsidRPr="000161BB">
              <w:rPr>
                <w:rFonts w:eastAsia="Calibri" w:cstheme="minorHAnsi"/>
                <w:b/>
                <w:bCs/>
                <w:color w:val="auto"/>
              </w:rPr>
              <w:t>Young people...</w:t>
            </w:r>
          </w:p>
        </w:tc>
      </w:tr>
      <w:tr w:rsidR="008B12B1" w:rsidRPr="00EC4DD1" w14:paraId="4584446C" w14:textId="77777777" w:rsidTr="000161BB">
        <w:tc>
          <w:tcPr>
            <w:cnfStyle w:val="001000000000" w:firstRow="0" w:lastRow="0" w:firstColumn="1" w:lastColumn="0" w:oddVBand="0" w:evenVBand="0" w:oddHBand="0" w:evenHBand="0" w:firstRowFirstColumn="0" w:firstRowLastColumn="0" w:lastRowFirstColumn="0" w:lastRowLastColumn="0"/>
            <w:tcW w:w="0" w:type="dxa"/>
          </w:tcPr>
          <w:p w14:paraId="40EEDCBF" w14:textId="45547183" w:rsidR="008B12B1" w:rsidRPr="00EC4DD1" w:rsidRDefault="008B12B1" w:rsidP="008B12B1">
            <w:pPr>
              <w:rPr>
                <w:rFonts w:eastAsia="Calibri" w:cstheme="minorHAnsi"/>
                <w:b/>
                <w:bCs/>
              </w:rPr>
            </w:pPr>
            <w:r w:rsidRPr="00EC4DD1">
              <w:rPr>
                <w:rFonts w:eastAsia="Calibri" w:cstheme="minorHAnsi"/>
                <w:b/>
                <w:bCs/>
                <w:color w:val="auto"/>
              </w:rPr>
              <w:t>Participation</w:t>
            </w:r>
          </w:p>
        </w:tc>
        <w:tc>
          <w:tcPr>
            <w:tcW w:w="6184" w:type="dxa"/>
          </w:tcPr>
          <w:p w14:paraId="53939A1C" w14:textId="77777777" w:rsidR="008B12B1" w:rsidRPr="00AC2C0E" w:rsidRDefault="008B12B1" w:rsidP="00BA026F">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Pr>
                <w:rFonts w:eastAsia="Calibri" w:cstheme="minorHAnsi"/>
                <w:szCs w:val="20"/>
                <w:lang w:eastAsia="zh-TW"/>
              </w:rPr>
              <w:t>Engage y</w:t>
            </w:r>
            <w:r w:rsidRPr="00AC2C0E">
              <w:rPr>
                <w:rFonts w:eastAsia="Calibri" w:cstheme="minorHAnsi"/>
                <w:szCs w:val="20"/>
                <w:lang w:eastAsia="zh-TW"/>
              </w:rPr>
              <w:t>oung people who do not have access to the services they need</w:t>
            </w:r>
          </w:p>
          <w:p w14:paraId="608C171C" w14:textId="77777777" w:rsidR="008B12B1" w:rsidRPr="00AC2C0E" w:rsidRDefault="008B12B1" w:rsidP="00BA026F">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Pr>
                <w:rFonts w:eastAsia="Calibri" w:cstheme="minorHAnsi"/>
                <w:szCs w:val="20"/>
                <w:lang w:eastAsia="zh-TW"/>
              </w:rPr>
              <w:t>Engage</w:t>
            </w:r>
            <w:r w:rsidRPr="00AC2C0E">
              <w:rPr>
                <w:rFonts w:eastAsia="Calibri" w:cstheme="minorHAnsi"/>
                <w:szCs w:val="20"/>
                <w:lang w:eastAsia="zh-TW"/>
              </w:rPr>
              <w:t xml:space="preserve"> </w:t>
            </w:r>
            <w:r>
              <w:rPr>
                <w:rFonts w:eastAsia="Calibri" w:cstheme="minorHAnsi"/>
                <w:szCs w:val="20"/>
                <w:lang w:eastAsia="zh-TW"/>
              </w:rPr>
              <w:t>y</w:t>
            </w:r>
            <w:r w:rsidRPr="00AC2C0E">
              <w:rPr>
                <w:rFonts w:eastAsia="Calibri" w:cstheme="minorHAnsi"/>
                <w:szCs w:val="20"/>
                <w:lang w:eastAsia="zh-TW"/>
              </w:rPr>
              <w:t>oung people whose voices are not heard</w:t>
            </w:r>
          </w:p>
          <w:p w14:paraId="2697739D" w14:textId="5A51C5B5"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Pr>
                <w:rFonts w:eastAsia="Calibri" w:cstheme="minorHAnsi"/>
                <w:szCs w:val="20"/>
                <w:lang w:eastAsia="zh-TW"/>
              </w:rPr>
              <w:t>Engage</w:t>
            </w:r>
            <w:r w:rsidRPr="00AC2C0E">
              <w:rPr>
                <w:rFonts w:eastAsia="Calibri" w:cstheme="minorHAnsi"/>
                <w:szCs w:val="20"/>
                <w:lang w:eastAsia="zh-TW"/>
              </w:rPr>
              <w:t xml:space="preserve"> </w:t>
            </w:r>
            <w:r>
              <w:rPr>
                <w:rFonts w:eastAsia="Calibri" w:cstheme="minorHAnsi"/>
                <w:szCs w:val="20"/>
                <w:lang w:eastAsia="zh-TW"/>
              </w:rPr>
              <w:t>y</w:t>
            </w:r>
            <w:r w:rsidRPr="00AC2C0E">
              <w:rPr>
                <w:rFonts w:eastAsia="Calibri" w:cstheme="minorHAnsi"/>
                <w:szCs w:val="20"/>
                <w:lang w:eastAsia="zh-TW"/>
              </w:rPr>
              <w:t>oung people who live in an area with high levels of deprivation</w:t>
            </w:r>
          </w:p>
        </w:tc>
        <w:tc>
          <w:tcPr>
            <w:tcW w:w="1172" w:type="dxa"/>
          </w:tcPr>
          <w:p w14:paraId="68B17D95" w14:textId="77777777"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6 months</w:t>
            </w:r>
          </w:p>
          <w:p w14:paraId="7C2BB8C2" w14:textId="77777777"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p>
          <w:p w14:paraId="345BDF71" w14:textId="77777777"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6 months</w:t>
            </w:r>
          </w:p>
          <w:p w14:paraId="4397BA5B" w14:textId="77777777"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6 months</w:t>
            </w:r>
          </w:p>
          <w:p w14:paraId="1B3B1AEA" w14:textId="0E1AA4AC"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p>
        </w:tc>
      </w:tr>
      <w:tr w:rsidR="008B12B1" w:rsidRPr="00EC4DD1" w14:paraId="11900870" w14:textId="77777777" w:rsidTr="000161BB">
        <w:tc>
          <w:tcPr>
            <w:cnfStyle w:val="001000000000" w:firstRow="0" w:lastRow="0" w:firstColumn="1" w:lastColumn="0" w:oddVBand="0" w:evenVBand="0" w:oddHBand="0" w:evenHBand="0" w:firstRowFirstColumn="0" w:firstRowLastColumn="0" w:lastRowFirstColumn="0" w:lastRowLastColumn="0"/>
            <w:tcW w:w="0" w:type="dxa"/>
          </w:tcPr>
          <w:p w14:paraId="7E41ACA9" w14:textId="404A2C79" w:rsidR="008B12B1" w:rsidRPr="00EC4DD1" w:rsidRDefault="008B12B1" w:rsidP="008B12B1">
            <w:pPr>
              <w:rPr>
                <w:rFonts w:eastAsia="Calibri" w:cstheme="minorHAnsi"/>
                <w:b/>
                <w:bCs/>
              </w:rPr>
            </w:pPr>
            <w:r w:rsidRPr="00EC4DD1">
              <w:rPr>
                <w:rFonts w:eastAsia="Calibri" w:cstheme="minorHAnsi"/>
                <w:b/>
                <w:bCs/>
                <w:color w:val="auto"/>
              </w:rPr>
              <w:t>Lived experience</w:t>
            </w:r>
          </w:p>
        </w:tc>
        <w:tc>
          <w:tcPr>
            <w:tcW w:w="6184" w:type="dxa"/>
          </w:tcPr>
          <w:p w14:paraId="3889CFE6" w14:textId="2F2C0DE3"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Pr>
                <w:rFonts w:eastAsia="Calibri" w:cstheme="minorHAnsi"/>
                <w:szCs w:val="20"/>
                <w:lang w:eastAsia="zh-TW"/>
              </w:rPr>
              <w:t>Engage</w:t>
            </w:r>
            <w:r w:rsidRPr="00AC2C0E" w:rsidDel="00AC2C0E">
              <w:rPr>
                <w:rFonts w:eastAsia="Calibri" w:cstheme="minorHAnsi"/>
                <w:szCs w:val="20"/>
                <w:lang w:eastAsia="zh-TW"/>
              </w:rPr>
              <w:t xml:space="preserve"> </w:t>
            </w:r>
            <w:r>
              <w:rPr>
                <w:rFonts w:eastAsia="Calibri" w:cstheme="minorHAnsi"/>
                <w:szCs w:val="20"/>
                <w:lang w:eastAsia="zh-TW"/>
              </w:rPr>
              <w:t>y</w:t>
            </w:r>
            <w:r w:rsidRPr="008B12B1">
              <w:rPr>
                <w:rFonts w:eastAsia="Calibri" w:cstheme="minorHAnsi"/>
                <w:szCs w:val="20"/>
                <w:lang w:eastAsia="zh-TW"/>
              </w:rPr>
              <w:t>oung people who have lived experience of the issues they are seeking to address</w:t>
            </w:r>
          </w:p>
        </w:tc>
        <w:tc>
          <w:tcPr>
            <w:tcW w:w="1172" w:type="dxa"/>
          </w:tcPr>
          <w:p w14:paraId="21C5A37F" w14:textId="77777777"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6 months</w:t>
            </w:r>
          </w:p>
          <w:p w14:paraId="19F971D0" w14:textId="481D882B"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p>
        </w:tc>
      </w:tr>
      <w:tr w:rsidR="008B12B1" w:rsidRPr="00EC4DD1" w14:paraId="265305FD" w14:textId="1F051AB8" w:rsidTr="000161BB">
        <w:tc>
          <w:tcPr>
            <w:cnfStyle w:val="001000000000" w:firstRow="0" w:lastRow="0" w:firstColumn="1" w:lastColumn="0" w:oddVBand="0" w:evenVBand="0" w:oddHBand="0" w:evenHBand="0" w:firstRowFirstColumn="0" w:firstRowLastColumn="0" w:lastRowFirstColumn="0" w:lastRowLastColumn="0"/>
            <w:tcW w:w="0" w:type="dxa"/>
          </w:tcPr>
          <w:p w14:paraId="57E5E5A6" w14:textId="77777777" w:rsidR="008B12B1" w:rsidRPr="00EC4DD1" w:rsidRDefault="008B12B1" w:rsidP="008B12B1">
            <w:pPr>
              <w:rPr>
                <w:rFonts w:cstheme="minorHAnsi"/>
                <w:color w:val="auto"/>
              </w:rPr>
            </w:pPr>
            <w:r w:rsidRPr="00EC4DD1">
              <w:rPr>
                <w:rFonts w:eastAsia="Calibri" w:cstheme="minorHAnsi"/>
                <w:b/>
                <w:bCs/>
                <w:color w:val="auto"/>
              </w:rPr>
              <w:t>Wellbeing</w:t>
            </w:r>
          </w:p>
        </w:tc>
        <w:tc>
          <w:tcPr>
            <w:tcW w:w="6184" w:type="dxa"/>
          </w:tcPr>
          <w:p w14:paraId="29A80525" w14:textId="77777777"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eastAsia="zh-TW"/>
              </w:rPr>
            </w:pPr>
            <w:r w:rsidRPr="00EC4DD1">
              <w:rPr>
                <w:rFonts w:eastAsia="Calibri" w:cstheme="minorHAnsi"/>
                <w:szCs w:val="20"/>
                <w:lang w:eastAsia="zh-TW"/>
              </w:rPr>
              <w:t>build resilience</w:t>
            </w:r>
          </w:p>
          <w:p w14:paraId="2DDA2F3D" w14:textId="77777777"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eastAsia="zh-TW"/>
              </w:rPr>
            </w:pPr>
            <w:r w:rsidRPr="00EC4DD1">
              <w:rPr>
                <w:rFonts w:eastAsia="Calibri" w:cstheme="minorHAnsi"/>
                <w:szCs w:val="20"/>
                <w:lang w:eastAsia="zh-TW"/>
              </w:rPr>
              <w:t xml:space="preserve">are better equipped to cope with challenging situations </w:t>
            </w:r>
          </w:p>
        </w:tc>
        <w:tc>
          <w:tcPr>
            <w:tcW w:w="1172" w:type="dxa"/>
          </w:tcPr>
          <w:p w14:paraId="0C1AD27B" w14:textId="33676134" w:rsidR="008B12B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2 years</w:t>
            </w:r>
          </w:p>
          <w:p w14:paraId="21DEBF11" w14:textId="7BF1F397"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2 years</w:t>
            </w:r>
          </w:p>
        </w:tc>
      </w:tr>
      <w:tr w:rsidR="008B12B1" w:rsidRPr="00EC4DD1" w14:paraId="27A08475" w14:textId="7954A7D2" w:rsidTr="000161BB">
        <w:tc>
          <w:tcPr>
            <w:cnfStyle w:val="001000000000" w:firstRow="0" w:lastRow="0" w:firstColumn="1" w:lastColumn="0" w:oddVBand="0" w:evenVBand="0" w:oddHBand="0" w:evenHBand="0" w:firstRowFirstColumn="0" w:firstRowLastColumn="0" w:lastRowFirstColumn="0" w:lastRowLastColumn="0"/>
            <w:tcW w:w="0" w:type="dxa"/>
          </w:tcPr>
          <w:p w14:paraId="5A1971AE" w14:textId="77777777" w:rsidR="008B12B1" w:rsidRPr="00EC4DD1" w:rsidRDefault="008B12B1" w:rsidP="008B12B1">
            <w:pPr>
              <w:rPr>
                <w:rFonts w:cstheme="minorHAnsi"/>
                <w:color w:val="auto"/>
              </w:rPr>
            </w:pPr>
            <w:r w:rsidRPr="00EC4DD1">
              <w:rPr>
                <w:rFonts w:eastAsia="Calibri" w:cstheme="minorHAnsi"/>
                <w:b/>
                <w:bCs/>
                <w:color w:val="auto"/>
              </w:rPr>
              <w:t>Confidence</w:t>
            </w:r>
          </w:p>
        </w:tc>
        <w:tc>
          <w:tcPr>
            <w:tcW w:w="6184" w:type="dxa"/>
          </w:tcPr>
          <w:p w14:paraId="1D2B17F3" w14:textId="77777777"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eastAsia="zh-TW"/>
              </w:rPr>
            </w:pPr>
            <w:r w:rsidRPr="00EC4DD1">
              <w:rPr>
                <w:rFonts w:eastAsia="Calibri" w:cstheme="minorHAnsi"/>
                <w:szCs w:val="20"/>
                <w:lang w:eastAsia="zh-TW"/>
              </w:rPr>
              <w:t xml:space="preserve">have the confidence in themselves to set meaningful personal goals </w:t>
            </w:r>
          </w:p>
          <w:p w14:paraId="194282CC" w14:textId="77777777"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eastAsia="zh-TW"/>
              </w:rPr>
            </w:pPr>
            <w:r w:rsidRPr="00EC4DD1">
              <w:rPr>
                <w:rFonts w:eastAsia="Calibri" w:cstheme="minorHAnsi"/>
                <w:szCs w:val="20"/>
                <w:lang w:eastAsia="zh-TW"/>
              </w:rPr>
              <w:t xml:space="preserve">have the confidence in themselves to support others </w:t>
            </w:r>
          </w:p>
        </w:tc>
        <w:tc>
          <w:tcPr>
            <w:tcW w:w="1172" w:type="dxa"/>
          </w:tcPr>
          <w:p w14:paraId="277F0C2B" w14:textId="0E3346D8"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2 years</w:t>
            </w:r>
          </w:p>
          <w:p w14:paraId="2D5375FC" w14:textId="77777777"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rPr>
            </w:pPr>
          </w:p>
          <w:p w14:paraId="3FB7096B" w14:textId="0833265D"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2 years</w:t>
            </w:r>
          </w:p>
        </w:tc>
      </w:tr>
      <w:tr w:rsidR="008B12B1" w:rsidRPr="00EC4DD1" w14:paraId="0A488126" w14:textId="6BF11786" w:rsidTr="000161BB">
        <w:tc>
          <w:tcPr>
            <w:cnfStyle w:val="001000000000" w:firstRow="0" w:lastRow="0" w:firstColumn="1" w:lastColumn="0" w:oddVBand="0" w:evenVBand="0" w:oddHBand="0" w:evenHBand="0" w:firstRowFirstColumn="0" w:firstRowLastColumn="0" w:lastRowFirstColumn="0" w:lastRowLastColumn="0"/>
            <w:tcW w:w="0" w:type="dxa"/>
          </w:tcPr>
          <w:p w14:paraId="540646C2" w14:textId="77777777" w:rsidR="008B12B1" w:rsidRPr="00EC4DD1" w:rsidRDefault="008B12B1" w:rsidP="008B12B1">
            <w:pPr>
              <w:rPr>
                <w:rFonts w:cstheme="minorHAnsi"/>
                <w:color w:val="auto"/>
              </w:rPr>
            </w:pPr>
            <w:r w:rsidRPr="00EC4DD1">
              <w:rPr>
                <w:rFonts w:eastAsia="Calibri" w:cstheme="minorHAnsi"/>
                <w:b/>
                <w:bCs/>
                <w:color w:val="auto"/>
              </w:rPr>
              <w:t>Connectedness</w:t>
            </w:r>
          </w:p>
        </w:tc>
        <w:tc>
          <w:tcPr>
            <w:tcW w:w="6184" w:type="dxa"/>
          </w:tcPr>
          <w:p w14:paraId="0FD55A8B" w14:textId="77777777"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eastAsia="zh-TW"/>
              </w:rPr>
            </w:pPr>
            <w:r w:rsidRPr="00EC4DD1">
              <w:rPr>
                <w:rFonts w:eastAsia="Calibri" w:cstheme="minorHAnsi"/>
                <w:szCs w:val="20"/>
                <w:lang w:eastAsia="zh-TW"/>
              </w:rPr>
              <w:t>feel part of a wider community</w:t>
            </w:r>
          </w:p>
          <w:p w14:paraId="06FF46B7" w14:textId="77777777"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eastAsia="zh-TW"/>
              </w:rPr>
            </w:pPr>
            <w:r w:rsidRPr="00EC4DD1">
              <w:rPr>
                <w:rFonts w:eastAsia="Calibri" w:cstheme="minorHAnsi"/>
                <w:szCs w:val="20"/>
                <w:lang w:eastAsia="zh-TW"/>
              </w:rPr>
              <w:t>feel they have good-quality individual relationships based on mutual trust and empathy</w:t>
            </w:r>
          </w:p>
        </w:tc>
        <w:tc>
          <w:tcPr>
            <w:tcW w:w="1172" w:type="dxa"/>
          </w:tcPr>
          <w:p w14:paraId="2227D189" w14:textId="77777777"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6 months</w:t>
            </w:r>
          </w:p>
          <w:p w14:paraId="1B205EBA" w14:textId="03BC9AB4"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2 years</w:t>
            </w:r>
          </w:p>
        </w:tc>
      </w:tr>
      <w:tr w:rsidR="008B12B1" w:rsidRPr="00EC4DD1" w14:paraId="7A5DEA9E" w14:textId="43DEC08A" w:rsidTr="000161BB">
        <w:tc>
          <w:tcPr>
            <w:cnfStyle w:val="001000000000" w:firstRow="0" w:lastRow="0" w:firstColumn="1" w:lastColumn="0" w:oddVBand="0" w:evenVBand="0" w:oddHBand="0" w:evenHBand="0" w:firstRowFirstColumn="0" w:firstRowLastColumn="0" w:lastRowFirstColumn="0" w:lastRowLastColumn="0"/>
            <w:tcW w:w="0" w:type="dxa"/>
          </w:tcPr>
          <w:p w14:paraId="1A8F37CB" w14:textId="77777777" w:rsidR="008B12B1" w:rsidRPr="00EC4DD1" w:rsidRDefault="008B12B1" w:rsidP="008B12B1">
            <w:pPr>
              <w:rPr>
                <w:rFonts w:cstheme="minorHAnsi"/>
                <w:color w:val="auto"/>
              </w:rPr>
            </w:pPr>
            <w:r w:rsidRPr="00EC4DD1">
              <w:rPr>
                <w:rFonts w:eastAsia="Calibri" w:cstheme="minorHAnsi"/>
                <w:b/>
                <w:bCs/>
                <w:color w:val="auto"/>
              </w:rPr>
              <w:t>Skills</w:t>
            </w:r>
          </w:p>
        </w:tc>
        <w:tc>
          <w:tcPr>
            <w:tcW w:w="6184" w:type="dxa"/>
          </w:tcPr>
          <w:p w14:paraId="035C27F0" w14:textId="77777777"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eastAsia="zh-TW"/>
              </w:rPr>
            </w:pPr>
            <w:r w:rsidRPr="00EC4DD1">
              <w:rPr>
                <w:rFonts w:eastAsiaTheme="minorEastAsia" w:cstheme="minorHAnsi"/>
                <w:szCs w:val="20"/>
                <w:lang w:eastAsia="zh-TW"/>
              </w:rPr>
              <w:t>develop communication, teamwork and planning skills</w:t>
            </w:r>
          </w:p>
          <w:p w14:paraId="0174D6B7" w14:textId="77777777"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eastAsia="zh-TW"/>
              </w:rPr>
            </w:pPr>
            <w:r w:rsidRPr="00EC4DD1">
              <w:rPr>
                <w:rFonts w:eastAsiaTheme="minorEastAsia" w:cstheme="minorHAnsi"/>
                <w:szCs w:val="20"/>
                <w:lang w:eastAsia="zh-TW"/>
              </w:rPr>
              <w:t>gain peer support skills (such as empathy, listening and leadership)</w:t>
            </w:r>
          </w:p>
        </w:tc>
        <w:tc>
          <w:tcPr>
            <w:tcW w:w="1172" w:type="dxa"/>
          </w:tcPr>
          <w:p w14:paraId="6DC0D182" w14:textId="77777777"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6 months</w:t>
            </w:r>
          </w:p>
          <w:p w14:paraId="72A5B64E" w14:textId="77777777"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6 months</w:t>
            </w:r>
          </w:p>
          <w:p w14:paraId="538D4619" w14:textId="6031851D"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eastAsia="zh-TW"/>
              </w:rPr>
            </w:pPr>
          </w:p>
        </w:tc>
      </w:tr>
      <w:tr w:rsidR="008B12B1" w:rsidRPr="00EC4DD1" w14:paraId="2B7777AF" w14:textId="6DC7105C" w:rsidTr="000161BB">
        <w:tc>
          <w:tcPr>
            <w:cnfStyle w:val="001000000000" w:firstRow="0" w:lastRow="0" w:firstColumn="1" w:lastColumn="0" w:oddVBand="0" w:evenVBand="0" w:oddHBand="0" w:evenHBand="0" w:firstRowFirstColumn="0" w:firstRowLastColumn="0" w:lastRowFirstColumn="0" w:lastRowLastColumn="0"/>
            <w:tcW w:w="0" w:type="dxa"/>
          </w:tcPr>
          <w:p w14:paraId="7FFE9BD1" w14:textId="77777777" w:rsidR="008B12B1" w:rsidRPr="00EC4DD1" w:rsidRDefault="008B12B1" w:rsidP="008B12B1">
            <w:pPr>
              <w:rPr>
                <w:rFonts w:cstheme="minorHAnsi"/>
                <w:color w:val="auto"/>
              </w:rPr>
            </w:pPr>
            <w:r w:rsidRPr="00EC4DD1">
              <w:rPr>
                <w:rFonts w:eastAsia="Calibri" w:cstheme="minorHAnsi"/>
                <w:b/>
                <w:bCs/>
                <w:color w:val="auto"/>
              </w:rPr>
              <w:t xml:space="preserve">Influence </w:t>
            </w:r>
          </w:p>
        </w:tc>
        <w:tc>
          <w:tcPr>
            <w:tcW w:w="6184" w:type="dxa"/>
          </w:tcPr>
          <w:p w14:paraId="65ACA65F" w14:textId="77777777"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eastAsia="zh-TW"/>
              </w:rPr>
            </w:pPr>
            <w:r w:rsidRPr="00EC4DD1">
              <w:rPr>
                <w:rFonts w:eastAsia="Calibri" w:cstheme="minorHAnsi"/>
                <w:szCs w:val="20"/>
                <w:lang w:eastAsia="zh-TW"/>
              </w:rPr>
              <w:t xml:space="preserve">feel they have influenced support, services or spaces in their community or school </w:t>
            </w:r>
          </w:p>
        </w:tc>
        <w:tc>
          <w:tcPr>
            <w:tcW w:w="1172" w:type="dxa"/>
          </w:tcPr>
          <w:p w14:paraId="08CB8D1D" w14:textId="3E110AEA"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sidRPr="00EC4DD1">
              <w:rPr>
                <w:rFonts w:eastAsia="Calibri" w:cstheme="minorHAnsi"/>
                <w:szCs w:val="20"/>
                <w:lang w:eastAsia="zh-TW"/>
              </w:rPr>
              <w:t>2 years</w:t>
            </w:r>
          </w:p>
        </w:tc>
      </w:tr>
      <w:tr w:rsidR="00007982" w:rsidRPr="00EC4DD1" w14:paraId="49758DCC" w14:textId="77777777" w:rsidTr="000161BB">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DF3EA" w:themeFill="accent3" w:themeFillTint="33"/>
          </w:tcPr>
          <w:p w14:paraId="111ABA9B" w14:textId="58BDFF1A" w:rsidR="00007982" w:rsidRPr="000161BB" w:rsidRDefault="00007982" w:rsidP="008B12B1">
            <w:pPr>
              <w:rPr>
                <w:rFonts w:eastAsia="Calibri" w:cstheme="minorHAnsi"/>
                <w:color w:val="auto"/>
                <w:szCs w:val="20"/>
                <w:lang w:eastAsia="zh-TW"/>
              </w:rPr>
            </w:pPr>
            <w:r w:rsidRPr="000161BB">
              <w:rPr>
                <w:rFonts w:eastAsia="Times" w:cs="Times New Roman"/>
                <w:b/>
                <w:bCs/>
                <w:color w:val="auto"/>
                <w:szCs w:val="20"/>
                <w:lang w:eastAsia="zh-TW"/>
              </w:rPr>
              <w:t>Wider community…</w:t>
            </w:r>
          </w:p>
        </w:tc>
      </w:tr>
      <w:tr w:rsidR="008B12B1" w:rsidRPr="00EC4DD1" w14:paraId="6CC8D2CC" w14:textId="77777777" w:rsidTr="000161BB">
        <w:tc>
          <w:tcPr>
            <w:cnfStyle w:val="001000000000" w:firstRow="0" w:lastRow="0" w:firstColumn="1" w:lastColumn="0" w:oddVBand="0" w:evenVBand="0" w:oddHBand="0" w:evenHBand="0" w:firstRowFirstColumn="0" w:firstRowLastColumn="0" w:lastRowFirstColumn="0" w:lastRowLastColumn="0"/>
            <w:tcW w:w="0" w:type="dxa"/>
          </w:tcPr>
          <w:p w14:paraId="3DCD9B82" w14:textId="0E7429C4" w:rsidR="008B12B1" w:rsidRPr="00EC4DD1" w:rsidRDefault="008B12B1" w:rsidP="008B12B1">
            <w:pPr>
              <w:rPr>
                <w:rFonts w:eastAsia="Calibri" w:cstheme="minorHAnsi"/>
                <w:b/>
                <w:bCs/>
                <w:color w:val="auto"/>
              </w:rPr>
            </w:pPr>
            <w:r w:rsidRPr="00EC4DD1">
              <w:rPr>
                <w:rFonts w:eastAsia="Calibri" w:cstheme="minorHAnsi"/>
                <w:b/>
                <w:bCs/>
                <w:color w:val="auto"/>
              </w:rPr>
              <w:t>Community</w:t>
            </w:r>
            <w:r>
              <w:rPr>
                <w:rFonts w:eastAsia="Calibri" w:cstheme="minorHAnsi"/>
                <w:b/>
                <w:bCs/>
                <w:color w:val="auto"/>
              </w:rPr>
              <w:t xml:space="preserve"> influence</w:t>
            </w:r>
          </w:p>
        </w:tc>
        <w:tc>
          <w:tcPr>
            <w:tcW w:w="6184" w:type="dxa"/>
          </w:tcPr>
          <w:p w14:paraId="13D3A03F" w14:textId="55F3D9FE"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imes" w:cs="Arial"/>
                <w:szCs w:val="20"/>
                <w:shd w:val="clear" w:color="auto" w:fill="FFFFFF"/>
                <w:lang w:eastAsia="zh-TW"/>
              </w:rPr>
            </w:pPr>
            <w:r w:rsidRPr="00EC4DD1">
              <w:rPr>
                <w:rFonts w:eastAsia="Times" w:cs="Times New Roman"/>
                <w:szCs w:val="20"/>
                <w:lang w:eastAsia="zh-TW"/>
              </w:rPr>
              <w:t>Support, services or spaces are better informed and accessed by young people</w:t>
            </w:r>
          </w:p>
        </w:tc>
        <w:tc>
          <w:tcPr>
            <w:tcW w:w="1172" w:type="dxa"/>
          </w:tcPr>
          <w:p w14:paraId="38B75872" w14:textId="2000DEBA"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Pr>
                <w:rFonts w:eastAsia="Calibri" w:cstheme="minorHAnsi"/>
                <w:szCs w:val="20"/>
                <w:lang w:eastAsia="zh-TW"/>
              </w:rPr>
              <w:t>2 years</w:t>
            </w:r>
          </w:p>
        </w:tc>
      </w:tr>
      <w:tr w:rsidR="008B12B1" w:rsidRPr="00EC4DD1" w14:paraId="42C7DFCA" w14:textId="77777777" w:rsidTr="000161BB">
        <w:tc>
          <w:tcPr>
            <w:cnfStyle w:val="001000000000" w:firstRow="0" w:lastRow="0" w:firstColumn="1" w:lastColumn="0" w:oddVBand="0" w:evenVBand="0" w:oddHBand="0" w:evenHBand="0" w:firstRowFirstColumn="0" w:firstRowLastColumn="0" w:lastRowFirstColumn="0" w:lastRowLastColumn="0"/>
            <w:tcW w:w="0" w:type="dxa"/>
          </w:tcPr>
          <w:p w14:paraId="6F4BBD97" w14:textId="75A9A5DD" w:rsidR="008B12B1" w:rsidRPr="00EC4DD1" w:rsidRDefault="008B12B1" w:rsidP="008B12B1">
            <w:pPr>
              <w:rPr>
                <w:rFonts w:eastAsia="Calibri" w:cstheme="minorHAnsi"/>
                <w:b/>
                <w:bCs/>
                <w:color w:val="auto"/>
              </w:rPr>
            </w:pPr>
            <w:r w:rsidRPr="00EC4DD1">
              <w:rPr>
                <w:rFonts w:eastAsia="Calibri" w:cstheme="minorHAnsi"/>
                <w:b/>
                <w:bCs/>
                <w:color w:val="auto"/>
              </w:rPr>
              <w:t>Community</w:t>
            </w:r>
            <w:r>
              <w:rPr>
                <w:rFonts w:eastAsia="Calibri" w:cstheme="minorHAnsi"/>
                <w:b/>
                <w:bCs/>
                <w:color w:val="auto"/>
              </w:rPr>
              <w:t xml:space="preserve"> connectedness</w:t>
            </w:r>
          </w:p>
        </w:tc>
        <w:tc>
          <w:tcPr>
            <w:tcW w:w="6184" w:type="dxa"/>
          </w:tcPr>
          <w:p w14:paraId="47B52FD5" w14:textId="06FEC70F"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imes" w:cs="Arial"/>
                <w:szCs w:val="20"/>
                <w:shd w:val="clear" w:color="auto" w:fill="FFFFFF"/>
                <w:lang w:eastAsia="zh-TW"/>
              </w:rPr>
            </w:pPr>
            <w:r w:rsidRPr="00EC4DD1">
              <w:rPr>
                <w:rFonts w:eastAsia="Times" w:cs="Times New Roman"/>
                <w:szCs w:val="20"/>
                <w:lang w:eastAsia="zh-TW"/>
              </w:rPr>
              <w:t>Community’s perceptions of young people more positive</w:t>
            </w:r>
          </w:p>
        </w:tc>
        <w:tc>
          <w:tcPr>
            <w:tcW w:w="1172" w:type="dxa"/>
          </w:tcPr>
          <w:p w14:paraId="0CF8E077" w14:textId="7CA60F16"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Pr>
                <w:rFonts w:eastAsia="Calibri" w:cstheme="minorHAnsi"/>
                <w:szCs w:val="20"/>
                <w:lang w:eastAsia="zh-TW"/>
              </w:rPr>
              <w:t>2 years</w:t>
            </w:r>
          </w:p>
        </w:tc>
      </w:tr>
      <w:tr w:rsidR="008B12B1" w:rsidRPr="00EC4DD1" w14:paraId="7A2BE567" w14:textId="77777777" w:rsidTr="000161BB">
        <w:tc>
          <w:tcPr>
            <w:cnfStyle w:val="001000000000" w:firstRow="0" w:lastRow="0" w:firstColumn="1" w:lastColumn="0" w:oddVBand="0" w:evenVBand="0" w:oddHBand="0" w:evenHBand="0" w:firstRowFirstColumn="0" w:firstRowLastColumn="0" w:lastRowFirstColumn="0" w:lastRowLastColumn="0"/>
            <w:tcW w:w="0" w:type="dxa"/>
          </w:tcPr>
          <w:p w14:paraId="78792F56" w14:textId="1FDDEA36" w:rsidR="008B12B1" w:rsidRPr="00EC4DD1" w:rsidRDefault="008B12B1" w:rsidP="008B12B1">
            <w:pPr>
              <w:rPr>
                <w:rFonts w:eastAsia="Calibri" w:cstheme="minorHAnsi"/>
                <w:b/>
                <w:bCs/>
                <w:color w:val="auto"/>
              </w:rPr>
            </w:pPr>
            <w:r w:rsidRPr="00EC4DD1">
              <w:rPr>
                <w:rFonts w:eastAsia="Calibri" w:cstheme="minorHAnsi"/>
                <w:b/>
                <w:bCs/>
                <w:color w:val="auto"/>
              </w:rPr>
              <w:t>Community</w:t>
            </w:r>
            <w:r>
              <w:rPr>
                <w:rFonts w:eastAsia="Calibri" w:cstheme="minorHAnsi"/>
                <w:b/>
                <w:bCs/>
                <w:color w:val="auto"/>
              </w:rPr>
              <w:t xml:space="preserve"> participation</w:t>
            </w:r>
          </w:p>
        </w:tc>
        <w:tc>
          <w:tcPr>
            <w:tcW w:w="6184" w:type="dxa"/>
          </w:tcPr>
          <w:p w14:paraId="5C19EECD" w14:textId="77273F7F" w:rsidR="008B12B1" w:rsidRPr="00EC4DD1" w:rsidRDefault="008B12B1" w:rsidP="008B12B1">
            <w:pPr>
              <w:pStyle w:val="ListParagraph"/>
              <w:numPr>
                <w:ilvl w:val="0"/>
                <w:numId w:val="49"/>
              </w:numPr>
              <w:ind w:left="473"/>
              <w:cnfStyle w:val="000000000000" w:firstRow="0" w:lastRow="0" w:firstColumn="0" w:lastColumn="0" w:oddVBand="0" w:evenVBand="0" w:oddHBand="0" w:evenHBand="0" w:firstRowFirstColumn="0" w:firstRowLastColumn="0" w:lastRowFirstColumn="0" w:lastRowLastColumn="0"/>
              <w:rPr>
                <w:rFonts w:eastAsia="Times" w:cs="Arial"/>
                <w:szCs w:val="20"/>
                <w:shd w:val="clear" w:color="auto" w:fill="FFFFFF"/>
                <w:lang w:eastAsia="zh-TW"/>
              </w:rPr>
            </w:pPr>
            <w:r w:rsidRPr="00EC4DD1">
              <w:rPr>
                <w:rFonts w:eastAsia="Times" w:cs="Times New Roman"/>
                <w:szCs w:val="20"/>
                <w:lang w:eastAsia="zh-TW"/>
              </w:rPr>
              <w:t>Have plans to deliver more youth social action projects</w:t>
            </w:r>
          </w:p>
        </w:tc>
        <w:tc>
          <w:tcPr>
            <w:tcW w:w="1172" w:type="dxa"/>
          </w:tcPr>
          <w:p w14:paraId="69EB125A" w14:textId="5A16370B" w:rsidR="008B12B1" w:rsidRPr="00EC4DD1" w:rsidRDefault="008B12B1" w:rsidP="008B12B1">
            <w:pPr>
              <w:cnfStyle w:val="000000000000" w:firstRow="0" w:lastRow="0" w:firstColumn="0" w:lastColumn="0" w:oddVBand="0" w:evenVBand="0" w:oddHBand="0" w:evenHBand="0" w:firstRowFirstColumn="0" w:firstRowLastColumn="0" w:lastRowFirstColumn="0" w:lastRowLastColumn="0"/>
              <w:rPr>
                <w:rFonts w:eastAsia="Calibri" w:cstheme="minorHAnsi"/>
                <w:szCs w:val="20"/>
                <w:lang w:eastAsia="zh-TW"/>
              </w:rPr>
            </w:pPr>
            <w:r>
              <w:rPr>
                <w:rFonts w:eastAsia="Calibri" w:cstheme="minorHAnsi"/>
                <w:szCs w:val="20"/>
                <w:lang w:eastAsia="zh-TW"/>
              </w:rPr>
              <w:t>2 years</w:t>
            </w:r>
          </w:p>
        </w:tc>
      </w:tr>
    </w:tbl>
    <w:bookmarkEnd w:id="0"/>
    <w:p w14:paraId="4186BFF1" w14:textId="20A33D40" w:rsidR="00A74896" w:rsidRDefault="00503492" w:rsidP="0051703E">
      <w:pPr>
        <w:pStyle w:val="BodyText"/>
      </w:pPr>
      <w:r>
        <w:br/>
      </w:r>
      <w:r w:rsidR="003224BE">
        <w:t>Half (24/48) of the Year 1 funded projects submitted monitoring form information</w:t>
      </w:r>
      <w:r w:rsidR="00007982">
        <w:t xml:space="preserve"> in time for this summary</w:t>
      </w:r>
      <w:r w:rsidR="003224BE">
        <w:t>. Of these</w:t>
      </w:r>
      <w:r w:rsidR="00007982">
        <w:t>, three</w:t>
      </w:r>
      <w:r w:rsidR="003224BE">
        <w:t xml:space="preserve"> had </w:t>
      </w:r>
      <w:r w:rsidR="003F691C">
        <w:t xml:space="preserve">not </w:t>
      </w:r>
      <w:r w:rsidR="003224BE">
        <w:t xml:space="preserve">engaged any young people, and were </w:t>
      </w:r>
      <w:r w:rsidR="003F691C">
        <w:t>un</w:t>
      </w:r>
      <w:r w:rsidR="003224BE">
        <w:t>able to report on young people outcomes</w:t>
      </w:r>
      <w:r w:rsidR="00350CBB">
        <w:t xml:space="preserve"> </w:t>
      </w:r>
      <w:r w:rsidR="003224BE">
        <w:t xml:space="preserve">due to </w:t>
      </w:r>
      <w:r w:rsidR="00007982">
        <w:t xml:space="preserve">project start </w:t>
      </w:r>
      <w:r w:rsidR="003224BE">
        <w:t>delay</w:t>
      </w:r>
      <w:r w:rsidR="00007982">
        <w:t>s from the pandemic</w:t>
      </w:r>
      <w:r w:rsidR="003224BE">
        <w:t>. Projects were asked</w:t>
      </w:r>
      <w:r w:rsidR="00350CBB">
        <w:t xml:space="preserve"> by the Co-op Foundation</w:t>
      </w:r>
      <w:r w:rsidR="003224BE">
        <w:t xml:space="preserve"> to provide evidence towards a minimum of four out of seven young people outcomes. From these, projects could choose which outcomes to report on and the method for collecting evidence of the outcomes. This was in recognition that there may be some projects who do not seek to achieve some outcomes and because of Co-op’s commitment to reduce burden on projects engaging in the evaluation. Where numbers of projects and young people are given, this should be understood as evidence provided towards this outcome, rather than explicitly achieving it. Due to the differing size of projects by strand in terms of young people engaged, and the </w:t>
      </w:r>
      <w:r w:rsidR="00350CBB">
        <w:t>fact that this summary includes half of Year 1 projects</w:t>
      </w:r>
      <w:r w:rsidR="006E1540">
        <w:t xml:space="preserve"> so findings </w:t>
      </w:r>
      <w:r w:rsidR="003224BE">
        <w:t xml:space="preserve">should not be treated as a complete and comprehensive representation of the outcomes of the </w:t>
      </w:r>
      <w:r w:rsidR="00E23E62">
        <w:t>Fund</w:t>
      </w:r>
      <w:r w:rsidR="003224BE">
        <w:t xml:space="preserve">. </w:t>
      </w:r>
      <w:r w:rsidR="000A60E9">
        <w:t>The info</w:t>
      </w:r>
      <w:r w:rsidR="003224BE">
        <w:t xml:space="preserve">graphic overleaf summarises </w:t>
      </w:r>
      <w:r w:rsidR="00D106A9">
        <w:t>how projects have progressed against the above outcome</w:t>
      </w:r>
      <w:r w:rsidR="00B42177">
        <w:t>s</w:t>
      </w:r>
      <w:r w:rsidR="00E9347F">
        <w:t xml:space="preserve"> </w:t>
      </w:r>
      <w:r w:rsidR="00D106A9">
        <w:t>so far</w:t>
      </w:r>
      <w:r w:rsidR="000A60E9">
        <w:t>.</w:t>
      </w:r>
      <w:r w:rsidR="003224BE">
        <w:t xml:space="preserve"> We discuss each outcome in more detail in the following section.</w:t>
      </w:r>
      <w:r w:rsidR="000A60E9">
        <w:t xml:space="preserve"> </w:t>
      </w:r>
    </w:p>
    <w:p w14:paraId="1C54FC2E" w14:textId="1F4B54AF" w:rsidR="00E9347F" w:rsidRDefault="00007982" w:rsidP="00F77F29">
      <w:pPr>
        <w:jc w:val="center"/>
      </w:pPr>
      <w:r>
        <w:rPr>
          <w:noProof/>
        </w:rPr>
        <w:lastRenderedPageBreak/>
        <w:drawing>
          <wp:anchor distT="0" distB="0" distL="114300" distR="114300" simplePos="0" relativeHeight="251658240" behindDoc="1" locked="0" layoutInCell="1" allowOverlap="1" wp14:anchorId="48AA9A02" wp14:editId="7A802DB3">
            <wp:simplePos x="0" y="0"/>
            <wp:positionH relativeFrom="page">
              <wp:posOffset>756285</wp:posOffset>
            </wp:positionH>
            <wp:positionV relativeFrom="paragraph">
              <wp:posOffset>106680</wp:posOffset>
            </wp:positionV>
            <wp:extent cx="6085205" cy="8602345"/>
            <wp:effectExtent l="19050" t="19050" r="10795" b="27305"/>
            <wp:wrapTight wrapText="bothSides">
              <wp:wrapPolygon edited="0">
                <wp:start x="-68" y="-48"/>
                <wp:lineTo x="-68" y="21621"/>
                <wp:lineTo x="21571" y="21621"/>
                <wp:lineTo x="21571" y="-48"/>
                <wp:lineTo x="-68" y="-48"/>
              </wp:wrapPolygon>
            </wp:wrapTight>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5205" cy="8602345"/>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E9347F">
        <w:br w:type="page"/>
      </w:r>
    </w:p>
    <w:p w14:paraId="3D7411F3" w14:textId="07A5CBEF" w:rsidR="001C09EF" w:rsidRDefault="0070436F" w:rsidP="002438F1">
      <w:pPr>
        <w:pStyle w:val="Heading2"/>
      </w:pPr>
      <w:r>
        <w:lastRenderedPageBreak/>
        <w:t>How are projects progressing in achieving outcomes for young people?</w:t>
      </w:r>
    </w:p>
    <w:p w14:paraId="5F62D1E6" w14:textId="5AA16E79" w:rsidR="00492171" w:rsidRDefault="00705E88" w:rsidP="00132291">
      <w:pPr>
        <w:pStyle w:val="Heading3"/>
        <w:spacing w:line="288" w:lineRule="auto"/>
        <w:rPr>
          <w:b w:val="0"/>
          <w:bCs w:val="0"/>
        </w:rPr>
      </w:pPr>
      <w:r>
        <w:rPr>
          <w:noProof/>
        </w:rPr>
        <w:drawing>
          <wp:anchor distT="0" distB="0" distL="114300" distR="114300" simplePos="0" relativeHeight="251659264" behindDoc="1" locked="0" layoutInCell="1" allowOverlap="1" wp14:anchorId="3C1EF0B7" wp14:editId="1A9C1080">
            <wp:simplePos x="0" y="0"/>
            <wp:positionH relativeFrom="margin">
              <wp:align>left</wp:align>
            </wp:positionH>
            <wp:positionV relativeFrom="paragraph">
              <wp:posOffset>12065</wp:posOffset>
            </wp:positionV>
            <wp:extent cx="504825" cy="504825"/>
            <wp:effectExtent l="0" t="0" r="9525" b="9525"/>
            <wp:wrapTight wrapText="bothSides">
              <wp:wrapPolygon edited="0">
                <wp:start x="0" y="0"/>
                <wp:lineTo x="0" y="21192"/>
                <wp:lineTo x="21192" y="21192"/>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9EF" w:rsidRPr="00147A43">
        <w:t>Participation</w:t>
      </w:r>
      <w:r w:rsidR="004B5582">
        <w:t>:</w:t>
      </w:r>
      <w:r>
        <w:t xml:space="preserve"> </w:t>
      </w:r>
      <w:r w:rsidR="006E1540">
        <w:rPr>
          <w:b w:val="0"/>
          <w:bCs w:val="0"/>
        </w:rPr>
        <w:t xml:space="preserve">The Co-op Foundation intended for the </w:t>
      </w:r>
      <w:r w:rsidR="00E23E62">
        <w:rPr>
          <w:b w:val="0"/>
          <w:bCs w:val="0"/>
        </w:rPr>
        <w:t>Fund</w:t>
      </w:r>
      <w:r w:rsidR="0070436F" w:rsidRPr="000161BB">
        <w:rPr>
          <w:b w:val="0"/>
          <w:bCs w:val="0"/>
        </w:rPr>
        <w:t xml:space="preserve"> to engage young people ‘who needed it most’</w:t>
      </w:r>
      <w:r w:rsidR="00492171" w:rsidRPr="000161BB">
        <w:rPr>
          <w:b w:val="0"/>
          <w:bCs w:val="0"/>
        </w:rPr>
        <w:t>. This included young people who do not have access to the services they need; those whose voices are not heard; and those who live in an area with</w:t>
      </w:r>
      <w:r w:rsidR="006E1540">
        <w:rPr>
          <w:b w:val="0"/>
          <w:bCs w:val="0"/>
        </w:rPr>
        <w:t xml:space="preserve"> high</w:t>
      </w:r>
      <w:r w:rsidR="00492171" w:rsidRPr="000161BB">
        <w:rPr>
          <w:b w:val="0"/>
          <w:bCs w:val="0"/>
        </w:rPr>
        <w:t xml:space="preserve"> levels of deprivation.</w:t>
      </w:r>
      <w:r w:rsidR="00BE2521" w:rsidRPr="000161BB">
        <w:rPr>
          <w:b w:val="0"/>
          <w:bCs w:val="0"/>
        </w:rPr>
        <w:t xml:space="preserve"> Participation of young people who needed it most was </w:t>
      </w:r>
      <w:r w:rsidR="00492171" w:rsidRPr="000161BB">
        <w:rPr>
          <w:b w:val="0"/>
          <w:bCs w:val="0"/>
        </w:rPr>
        <w:t xml:space="preserve">expected within </w:t>
      </w:r>
      <w:r w:rsidR="0036690C" w:rsidRPr="000161BB">
        <w:rPr>
          <w:b w:val="0"/>
          <w:bCs w:val="0"/>
        </w:rPr>
        <w:t>six</w:t>
      </w:r>
      <w:r w:rsidR="00492171" w:rsidRPr="000161BB">
        <w:rPr>
          <w:b w:val="0"/>
          <w:bCs w:val="0"/>
        </w:rPr>
        <w:t xml:space="preserve"> months</w:t>
      </w:r>
      <w:r w:rsidR="00BE2521" w:rsidRPr="000161BB">
        <w:rPr>
          <w:b w:val="0"/>
          <w:bCs w:val="0"/>
        </w:rPr>
        <w:t xml:space="preserve"> of project start</w:t>
      </w:r>
      <w:r w:rsidR="0036690C" w:rsidRPr="000161BB">
        <w:rPr>
          <w:b w:val="0"/>
          <w:bCs w:val="0"/>
        </w:rPr>
        <w:t xml:space="preserve"> because recruitment of young people to the projects was expected to happen within six months of receiving funding</w:t>
      </w:r>
      <w:r w:rsidR="00492171" w:rsidRPr="000161BB">
        <w:rPr>
          <w:b w:val="0"/>
          <w:bCs w:val="0"/>
        </w:rPr>
        <w:t>.</w:t>
      </w:r>
    </w:p>
    <w:tbl>
      <w:tblPr>
        <w:tblStyle w:val="IFFtable"/>
        <w:tblpPr w:leftFromText="180" w:rightFromText="180" w:vertAnchor="text" w:horzAnchor="margin" w:tblpY="27"/>
        <w:tblW w:w="0" w:type="auto"/>
        <w:tblInd w:w="0" w:type="dxa"/>
        <w:tblLook w:val="04A0" w:firstRow="1" w:lastRow="0" w:firstColumn="1" w:lastColumn="0" w:noHBand="0" w:noVBand="1"/>
      </w:tblPr>
      <w:tblGrid>
        <w:gridCol w:w="1271"/>
        <w:gridCol w:w="7970"/>
      </w:tblGrid>
      <w:tr w:rsidR="00705E88" w14:paraId="1C8FDE6D" w14:textId="77777777" w:rsidTr="00705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709D9C3" w14:textId="77777777" w:rsidR="00705E88" w:rsidRDefault="00705E88" w:rsidP="00705E88">
            <w:pPr>
              <w:pStyle w:val="Heading3"/>
              <w:spacing w:line="288" w:lineRule="auto"/>
              <w:outlineLvl w:val="2"/>
            </w:pPr>
            <w:r>
              <w:t>Numbers achieved</w:t>
            </w:r>
          </w:p>
        </w:tc>
        <w:tc>
          <w:tcPr>
            <w:tcW w:w="7970" w:type="dxa"/>
            <w:shd w:val="clear" w:color="auto" w:fill="EDF5D7" w:themeFill="accent1" w:themeFillTint="33"/>
          </w:tcPr>
          <w:p w14:paraId="0C98FD60" w14:textId="77777777" w:rsidR="00705E88" w:rsidRDefault="00705E88" w:rsidP="00705E88">
            <w:pPr>
              <w:pStyle w:val="BodyText"/>
              <w:cnfStyle w:val="100000000000" w:firstRow="1" w:lastRow="0" w:firstColumn="0" w:lastColumn="0" w:oddVBand="0" w:evenVBand="0" w:oddHBand="0" w:evenHBand="0" w:firstRowFirstColumn="0" w:firstRowLastColumn="0" w:lastRowFirstColumn="0" w:lastRowLastColumn="0"/>
            </w:pPr>
            <w:r w:rsidRPr="00705E88">
              <w:rPr>
                <w:b/>
                <w:bCs/>
                <w:color w:val="auto"/>
              </w:rPr>
              <w:t>Nearly half of projects have started engaging young people</w:t>
            </w:r>
            <w:r w:rsidRPr="00705E88">
              <w:rPr>
                <w:color w:val="auto"/>
              </w:rPr>
              <w:t xml:space="preserve"> in projects:19 out of the 24 that submitted monitoring information, from 48 funded Year 1 projects. </w:t>
            </w:r>
          </w:p>
          <w:p w14:paraId="147E8177" w14:textId="77777777" w:rsidR="00705E88" w:rsidRDefault="00705E88" w:rsidP="00705E88">
            <w:pPr>
              <w:pStyle w:val="BodyText"/>
              <w:cnfStyle w:val="100000000000" w:firstRow="1" w:lastRow="0" w:firstColumn="0" w:lastColumn="0" w:oddVBand="0" w:evenVBand="0" w:oddHBand="0" w:evenHBand="0" w:firstRowFirstColumn="0" w:firstRowLastColumn="0" w:lastRowFirstColumn="0" w:lastRowLastColumn="0"/>
            </w:pPr>
            <w:r w:rsidRPr="00705E88">
              <w:rPr>
                <w:color w:val="auto"/>
              </w:rPr>
              <w:t xml:space="preserve">Together, these </w:t>
            </w:r>
            <w:r w:rsidRPr="00705E88">
              <w:rPr>
                <w:b/>
                <w:bCs/>
                <w:color w:val="auto"/>
              </w:rPr>
              <w:t>projects have engaged 2,851 young people</w:t>
            </w:r>
            <w:r w:rsidRPr="00705E88">
              <w:rPr>
                <w:color w:val="auto"/>
              </w:rPr>
              <w:t xml:space="preserve"> so far, compared with the overall target of 6,200 young people the Co-op Foundation hopes its Fund will engage by the end of Year 2. </w:t>
            </w:r>
          </w:p>
          <w:p w14:paraId="0FF3F1CC" w14:textId="643D0891" w:rsidR="00705E88" w:rsidRDefault="00705E88" w:rsidP="00705E88">
            <w:pPr>
              <w:pStyle w:val="BodyText"/>
              <w:cnfStyle w:val="100000000000" w:firstRow="1" w:lastRow="0" w:firstColumn="0" w:lastColumn="0" w:oddVBand="0" w:evenVBand="0" w:oddHBand="0" w:evenHBand="0" w:firstRowFirstColumn="0" w:firstRowLastColumn="0" w:lastRowFirstColumn="0" w:lastRowLastColumn="0"/>
            </w:pPr>
            <w:r w:rsidRPr="00705E88">
              <w:rPr>
                <w:color w:val="auto"/>
              </w:rPr>
              <w:t xml:space="preserve">Projects reported </w:t>
            </w:r>
            <w:r w:rsidRPr="00705E88">
              <w:rPr>
                <w:b/>
                <w:bCs/>
                <w:color w:val="auto"/>
              </w:rPr>
              <w:t>minimal dropout</w:t>
            </w:r>
            <w:r w:rsidRPr="00705E88">
              <w:rPr>
                <w:color w:val="auto"/>
              </w:rPr>
              <w:t xml:space="preserve"> among the young people they recruited to their projects. Less than half of organisations had experienced any young people dropping out of their projects so far: 9 out of 21 projects, totalling 41 young people who had dropped out.</w:t>
            </w:r>
          </w:p>
        </w:tc>
      </w:tr>
    </w:tbl>
    <w:p w14:paraId="7E1802F3" w14:textId="77777777" w:rsidR="00705E88" w:rsidRPr="00705E88" w:rsidRDefault="00705E88" w:rsidP="00705E88">
      <w:pPr>
        <w:pStyle w:val="BodyText"/>
      </w:pPr>
    </w:p>
    <w:p w14:paraId="253DBBAB" w14:textId="084E58FE" w:rsidR="00DF59F0" w:rsidRDefault="007D20F1" w:rsidP="001C09EF">
      <w:pPr>
        <w:pStyle w:val="BodyText"/>
      </w:pPr>
      <w:r>
        <w:t>Bereavement</w:t>
      </w:r>
      <w:r w:rsidR="000C54EC" w:rsidRPr="001C09EF">
        <w:t xml:space="preserve"> projects tended to engage smaller numbers of participants</w:t>
      </w:r>
      <w:r w:rsidR="0036690C">
        <w:t xml:space="preserve">, </w:t>
      </w:r>
      <w:r w:rsidR="000D02FD">
        <w:t>between 2 and</w:t>
      </w:r>
      <w:r w:rsidR="0036690C">
        <w:t xml:space="preserve"> </w:t>
      </w:r>
      <w:r w:rsidR="000C54EC" w:rsidRPr="001C09EF">
        <w:t>30</w:t>
      </w:r>
      <w:r w:rsidR="0036690C">
        <w:t xml:space="preserve">, compared with the other strands. </w:t>
      </w:r>
      <w:r w:rsidR="000D02FD">
        <w:t xml:space="preserve">School Transitions </w:t>
      </w:r>
      <w:r w:rsidR="00DC6B05">
        <w:t xml:space="preserve">projects have engaged between </w:t>
      </w:r>
      <w:r w:rsidR="00BA026F">
        <w:t>15</w:t>
      </w:r>
      <w:r w:rsidR="00DC6B05">
        <w:t xml:space="preserve"> and up to 500 young people. </w:t>
      </w:r>
      <w:r w:rsidR="000D02FD">
        <w:t xml:space="preserve">Community Spaces </w:t>
      </w:r>
      <w:r w:rsidR="0036690C">
        <w:t>projects</w:t>
      </w:r>
      <w:r w:rsidR="00DC6B05">
        <w:t xml:space="preserve"> </w:t>
      </w:r>
      <w:r w:rsidR="000D02FD">
        <w:t>were</w:t>
      </w:r>
      <w:r w:rsidR="00DC6B05">
        <w:t xml:space="preserve"> engaging the largest number of young people in their projects, with </w:t>
      </w:r>
      <w:r w:rsidR="0036690C">
        <w:t xml:space="preserve">between </w:t>
      </w:r>
      <w:r w:rsidR="000D02FD">
        <w:t>83</w:t>
      </w:r>
      <w:r w:rsidR="0036690C">
        <w:t xml:space="preserve"> to up to 1600</w:t>
      </w:r>
      <w:r w:rsidR="00DC6B05">
        <w:t>.</w:t>
      </w:r>
      <w:r w:rsidR="0036690C" w:rsidRPr="001C09EF">
        <w:t xml:space="preserve"> </w:t>
      </w:r>
      <w:r w:rsidR="00DC6B05">
        <w:t xml:space="preserve">From qualitative discussions with grant managers, the smaller numbers targeted among </w:t>
      </w:r>
      <w:r w:rsidR="008D55B8">
        <w:t>B</w:t>
      </w:r>
      <w:r w:rsidR="00DC6B05">
        <w:t>ereavement projects appear</w:t>
      </w:r>
      <w:r w:rsidR="008D55B8">
        <w:t>s</w:t>
      </w:r>
      <w:r w:rsidR="00DC6B05">
        <w:t xml:space="preserve"> due to the </w:t>
      </w:r>
      <w:r w:rsidR="00D46D87">
        <w:t>sensitive nature of the project</w:t>
      </w:r>
      <w:r w:rsidR="00DC6B05">
        <w:t xml:space="preserve"> topic, making them more suitable for smaller, focussed groups of young people.</w:t>
      </w:r>
      <w:r w:rsidR="008C47E5">
        <w:t xml:space="preserve"> </w:t>
      </w:r>
    </w:p>
    <w:p w14:paraId="747B49BD" w14:textId="06057856" w:rsidR="00DF59F0" w:rsidRDefault="00BE2521" w:rsidP="001C09EF">
      <w:pPr>
        <w:pStyle w:val="BodyText"/>
      </w:pPr>
      <w:r>
        <w:t>O</w:t>
      </w:r>
      <w:r w:rsidR="001C09EF">
        <w:t xml:space="preserve">rganisations </w:t>
      </w:r>
      <w:r w:rsidR="00ED75EE">
        <w:t xml:space="preserve">that had engaged any young people </w:t>
      </w:r>
      <w:r>
        <w:t xml:space="preserve">so far </w:t>
      </w:r>
      <w:r w:rsidR="009F3185">
        <w:t>(19/21</w:t>
      </w:r>
      <w:r w:rsidR="00256F8E">
        <w:t xml:space="preserve"> projects</w:t>
      </w:r>
      <w:r w:rsidR="00DC6B05">
        <w:t>,</w:t>
      </w:r>
      <w:r w:rsidR="00256F8E">
        <w:t xml:space="preserve"> totalling 1</w:t>
      </w:r>
      <w:r w:rsidR="008D55B8">
        <w:t>,</w:t>
      </w:r>
      <w:r w:rsidR="00256F8E">
        <w:t>121 young people</w:t>
      </w:r>
      <w:r w:rsidR="00F32CB4">
        <w:t xml:space="preserve">) reported </w:t>
      </w:r>
      <w:r w:rsidR="001C09EF">
        <w:t>engag</w:t>
      </w:r>
      <w:r w:rsidR="00F32CB4">
        <w:t xml:space="preserve">ing </w:t>
      </w:r>
      <w:r w:rsidR="00DB5D59">
        <w:t>young people</w:t>
      </w:r>
      <w:r w:rsidR="001C09EF">
        <w:t xml:space="preserve"> </w:t>
      </w:r>
      <w:r>
        <w:t>from across the three categories</w:t>
      </w:r>
      <w:r w:rsidR="008D55B8">
        <w:t xml:space="preserve"> of young people ‘who needed it most’</w:t>
      </w:r>
      <w:r>
        <w:t>, rather than from any one category.</w:t>
      </w:r>
      <w:r w:rsidR="008C47E5">
        <w:t xml:space="preserve"> </w:t>
      </w:r>
      <w:r w:rsidR="00092B3B">
        <w:t xml:space="preserve">Over half (12/21) of projects reached some young people from all three groups. </w:t>
      </w:r>
      <w:r w:rsidR="001C09EF">
        <w:t xml:space="preserve">Most </w:t>
      </w:r>
      <w:r>
        <w:t>projects</w:t>
      </w:r>
      <w:r w:rsidR="001C09EF">
        <w:t xml:space="preserve"> </w:t>
      </w:r>
      <w:r w:rsidR="00F32CB4">
        <w:t xml:space="preserve">reported engaging </w:t>
      </w:r>
      <w:r w:rsidR="00DB5D59">
        <w:t>young people</w:t>
      </w:r>
      <w:r w:rsidR="001C09EF">
        <w:t xml:space="preserve"> who did not have access to services they needed</w:t>
      </w:r>
      <w:r w:rsidR="009F3185">
        <w:t xml:space="preserve"> (16/21 projects</w:t>
      </w:r>
      <w:r w:rsidR="00DC6B05">
        <w:t>,</w:t>
      </w:r>
      <w:r w:rsidR="009F3185">
        <w:t xml:space="preserve"> totalling 677 people)</w:t>
      </w:r>
      <w:r w:rsidR="001C09EF">
        <w:t xml:space="preserve">, and </w:t>
      </w:r>
      <w:r w:rsidR="009F3185">
        <w:t>a similar proportion</w:t>
      </w:r>
      <w:r w:rsidR="001C09EF">
        <w:t xml:space="preserve"> (14/</w:t>
      </w:r>
      <w:r w:rsidR="009F3185">
        <w:t>21</w:t>
      </w:r>
      <w:r w:rsidR="00256F8E">
        <w:t xml:space="preserve"> projects</w:t>
      </w:r>
      <w:r w:rsidR="00DC6B05">
        <w:t>,</w:t>
      </w:r>
      <w:r w:rsidR="00256F8E">
        <w:t xml:space="preserve"> totalling 872 young people</w:t>
      </w:r>
      <w:r w:rsidR="001C09EF">
        <w:t>)</w:t>
      </w:r>
      <w:r w:rsidR="00DC6B05">
        <w:t xml:space="preserve"> reported engaging </w:t>
      </w:r>
      <w:r w:rsidR="00DB5D59">
        <w:t>young people</w:t>
      </w:r>
      <w:r w:rsidR="001C09EF">
        <w:t xml:space="preserve"> </w:t>
      </w:r>
      <w:r w:rsidR="00731D35">
        <w:t>whose</w:t>
      </w:r>
      <w:r w:rsidR="001C09EF">
        <w:t xml:space="preserve"> voices </w:t>
      </w:r>
      <w:r w:rsidR="00F32CB4">
        <w:t xml:space="preserve">were </w:t>
      </w:r>
      <w:r w:rsidR="00E21E38">
        <w:t>not</w:t>
      </w:r>
      <w:r w:rsidR="00F32CB4">
        <w:t xml:space="preserve"> heard</w:t>
      </w:r>
      <w:r w:rsidR="001C09EF">
        <w:t>.</w:t>
      </w:r>
      <w:r w:rsidR="00B4398B">
        <w:t xml:space="preserve"> </w:t>
      </w:r>
    </w:p>
    <w:p w14:paraId="50C7B528" w14:textId="77777777" w:rsidR="00705E88" w:rsidRDefault="007F636B" w:rsidP="007F636B">
      <w:pPr>
        <w:pStyle w:val="Heading3"/>
        <w:spacing w:line="288" w:lineRule="auto"/>
        <w:rPr>
          <w:rFonts w:eastAsiaTheme="minorHAnsi" w:cstheme="minorBidi"/>
          <w:b w:val="0"/>
          <w:bCs w:val="0"/>
        </w:rPr>
      </w:pPr>
      <w:r>
        <w:rPr>
          <w:noProof/>
        </w:rPr>
        <w:drawing>
          <wp:anchor distT="0" distB="0" distL="114300" distR="114300" simplePos="0" relativeHeight="251660288" behindDoc="1" locked="0" layoutInCell="1" allowOverlap="1" wp14:anchorId="3F1191D5" wp14:editId="38388F12">
            <wp:simplePos x="0" y="0"/>
            <wp:positionH relativeFrom="column">
              <wp:posOffset>-2540</wp:posOffset>
            </wp:positionH>
            <wp:positionV relativeFrom="paragraph">
              <wp:posOffset>10795</wp:posOffset>
            </wp:positionV>
            <wp:extent cx="538480" cy="538480"/>
            <wp:effectExtent l="0" t="0" r="0" b="0"/>
            <wp:wrapTight wrapText="bothSides">
              <wp:wrapPolygon edited="0">
                <wp:start x="0" y="0"/>
                <wp:lineTo x="0" y="20632"/>
                <wp:lineTo x="20632" y="20632"/>
                <wp:lineTo x="206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9EF" w:rsidRPr="00147A43">
        <w:t>Lived experience</w:t>
      </w:r>
      <w:r w:rsidR="004B5582">
        <w:t xml:space="preserve">: </w:t>
      </w:r>
      <w:r w:rsidR="00D5144E" w:rsidRPr="007F636B">
        <w:rPr>
          <w:rFonts w:eastAsiaTheme="minorHAnsi" w:cstheme="minorBidi"/>
          <w:b w:val="0"/>
          <w:bCs w:val="0"/>
        </w:rPr>
        <w:t>E</w:t>
      </w:r>
      <w:r w:rsidR="00DB4373" w:rsidRPr="007F636B">
        <w:rPr>
          <w:rFonts w:eastAsiaTheme="minorHAnsi" w:cstheme="minorBidi"/>
          <w:b w:val="0"/>
          <w:bCs w:val="0"/>
        </w:rPr>
        <w:t xml:space="preserve">ngaging </w:t>
      </w:r>
      <w:r w:rsidR="00DB5D59" w:rsidRPr="007F636B">
        <w:rPr>
          <w:rFonts w:eastAsiaTheme="minorHAnsi" w:cstheme="minorBidi"/>
          <w:b w:val="0"/>
          <w:bCs w:val="0"/>
        </w:rPr>
        <w:t>young people</w:t>
      </w:r>
      <w:r w:rsidR="00DB4373" w:rsidRPr="007F636B">
        <w:rPr>
          <w:rFonts w:eastAsiaTheme="minorHAnsi" w:cstheme="minorBidi"/>
          <w:b w:val="0"/>
          <w:bCs w:val="0"/>
        </w:rPr>
        <w:t xml:space="preserve"> who had lived experiences of the issues the project</w:t>
      </w:r>
      <w:r w:rsidR="008D55B8">
        <w:rPr>
          <w:rFonts w:eastAsiaTheme="minorHAnsi" w:cstheme="minorBidi"/>
          <w:b w:val="0"/>
          <w:bCs w:val="0"/>
        </w:rPr>
        <w:t>s were</w:t>
      </w:r>
      <w:r w:rsidR="00DB4373" w:rsidRPr="007F636B">
        <w:rPr>
          <w:rFonts w:eastAsiaTheme="minorHAnsi" w:cstheme="minorBidi"/>
          <w:b w:val="0"/>
          <w:bCs w:val="0"/>
        </w:rPr>
        <w:t xml:space="preserve"> trying to address</w:t>
      </w:r>
      <w:r w:rsidR="00D5144E" w:rsidRPr="007F636B">
        <w:rPr>
          <w:rFonts w:eastAsiaTheme="minorHAnsi" w:cstheme="minorBidi"/>
          <w:b w:val="0"/>
          <w:bCs w:val="0"/>
        </w:rPr>
        <w:t xml:space="preserve"> </w:t>
      </w:r>
      <w:r w:rsidR="00411A9C" w:rsidRPr="007F636B">
        <w:rPr>
          <w:rFonts w:eastAsiaTheme="minorHAnsi" w:cstheme="minorBidi"/>
          <w:b w:val="0"/>
          <w:bCs w:val="0"/>
        </w:rPr>
        <w:t xml:space="preserve">was </w:t>
      </w:r>
      <w:r w:rsidR="00D5144E" w:rsidRPr="007F636B">
        <w:rPr>
          <w:rFonts w:eastAsiaTheme="minorHAnsi" w:cstheme="minorBidi"/>
          <w:b w:val="0"/>
          <w:bCs w:val="0"/>
        </w:rPr>
        <w:t>the second priority outcome</w:t>
      </w:r>
      <w:r w:rsidR="00DB4373" w:rsidRPr="007F636B">
        <w:rPr>
          <w:rFonts w:eastAsiaTheme="minorHAnsi" w:cstheme="minorBidi"/>
          <w:b w:val="0"/>
          <w:bCs w:val="0"/>
        </w:rPr>
        <w:t xml:space="preserve">. </w:t>
      </w:r>
    </w:p>
    <w:p w14:paraId="29263882" w14:textId="77777777" w:rsidR="00705E88" w:rsidRDefault="00705E88" w:rsidP="007F636B">
      <w:pPr>
        <w:pStyle w:val="Heading3"/>
        <w:spacing w:line="288" w:lineRule="auto"/>
        <w:rPr>
          <w:rFonts w:eastAsiaTheme="minorHAnsi" w:cstheme="minorBidi"/>
          <w:b w:val="0"/>
          <w:bCs w:val="0"/>
        </w:rPr>
      </w:pPr>
    </w:p>
    <w:tbl>
      <w:tblPr>
        <w:tblStyle w:val="IFFtable"/>
        <w:tblpPr w:leftFromText="180" w:rightFromText="180" w:vertAnchor="text" w:horzAnchor="margin" w:tblpY="27"/>
        <w:tblW w:w="0" w:type="auto"/>
        <w:tblInd w:w="0" w:type="dxa"/>
        <w:tblLook w:val="04A0" w:firstRow="1" w:lastRow="0" w:firstColumn="1" w:lastColumn="0" w:noHBand="0" w:noVBand="1"/>
      </w:tblPr>
      <w:tblGrid>
        <w:gridCol w:w="1271"/>
        <w:gridCol w:w="7970"/>
      </w:tblGrid>
      <w:tr w:rsidR="00705E88" w14:paraId="093A7A54" w14:textId="77777777" w:rsidTr="00ED6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6495E06" w14:textId="77777777" w:rsidR="00705E88" w:rsidRDefault="00705E88" w:rsidP="00ED6069">
            <w:pPr>
              <w:pStyle w:val="Heading3"/>
              <w:spacing w:line="288" w:lineRule="auto"/>
              <w:outlineLvl w:val="2"/>
            </w:pPr>
            <w:r>
              <w:t>Numbers achieved</w:t>
            </w:r>
          </w:p>
        </w:tc>
        <w:tc>
          <w:tcPr>
            <w:tcW w:w="7970" w:type="dxa"/>
            <w:shd w:val="clear" w:color="auto" w:fill="EDF5D7" w:themeFill="accent1" w:themeFillTint="33"/>
          </w:tcPr>
          <w:p w14:paraId="4746FBE6" w14:textId="50FB9F44" w:rsidR="00705E88" w:rsidRDefault="00705E88" w:rsidP="00ED6069">
            <w:pPr>
              <w:pStyle w:val="BodyText"/>
              <w:cnfStyle w:val="100000000000" w:firstRow="1" w:lastRow="0" w:firstColumn="0" w:lastColumn="0" w:oddVBand="0" w:evenVBand="0" w:oddHBand="0" w:evenHBand="0" w:firstRowFirstColumn="0" w:firstRowLastColumn="0" w:lastRowFirstColumn="0" w:lastRowLastColumn="0"/>
            </w:pPr>
            <w:r w:rsidRPr="00705E88">
              <w:rPr>
                <w:color w:val="auto"/>
              </w:rPr>
              <w:t xml:space="preserve">Projects reported </w:t>
            </w:r>
            <w:r w:rsidRPr="00705E88">
              <w:rPr>
                <w:b/>
                <w:bCs/>
                <w:color w:val="auto"/>
              </w:rPr>
              <w:t>1,035 young people took part who had lived experiences</w:t>
            </w:r>
            <w:r w:rsidRPr="00705E88">
              <w:rPr>
                <w:color w:val="auto"/>
              </w:rPr>
              <w:t>, though only 6/21 submitted this outcome via the monitoring form.</w:t>
            </w:r>
          </w:p>
        </w:tc>
      </w:tr>
    </w:tbl>
    <w:p w14:paraId="0E1FD55F" w14:textId="77777777" w:rsidR="00705E88" w:rsidRDefault="00705E88" w:rsidP="007F636B">
      <w:pPr>
        <w:pStyle w:val="Heading3"/>
        <w:spacing w:line="288" w:lineRule="auto"/>
        <w:rPr>
          <w:rFonts w:eastAsiaTheme="minorHAnsi" w:cstheme="minorBidi"/>
          <w:b w:val="0"/>
          <w:bCs w:val="0"/>
        </w:rPr>
      </w:pPr>
    </w:p>
    <w:p w14:paraId="26AA9FC6" w14:textId="25A16C08" w:rsidR="0056448A" w:rsidRPr="00784A5B" w:rsidRDefault="00D5144E" w:rsidP="007F636B">
      <w:pPr>
        <w:pStyle w:val="Heading3"/>
        <w:spacing w:line="288" w:lineRule="auto"/>
      </w:pPr>
      <w:r w:rsidRPr="007F636B">
        <w:rPr>
          <w:rFonts w:eastAsiaTheme="minorHAnsi" w:cstheme="minorBidi"/>
          <w:b w:val="0"/>
          <w:bCs w:val="0"/>
        </w:rPr>
        <w:t>E</w:t>
      </w:r>
      <w:r w:rsidR="001C09EF" w:rsidRPr="007F636B">
        <w:rPr>
          <w:rFonts w:eastAsiaTheme="minorHAnsi" w:cstheme="minorBidi"/>
          <w:b w:val="0"/>
          <w:bCs w:val="0"/>
        </w:rPr>
        <w:t xml:space="preserve">vidence from interviews suggests most projects </w:t>
      </w:r>
      <w:r w:rsidRPr="007F636B">
        <w:rPr>
          <w:rFonts w:eastAsiaTheme="minorHAnsi" w:cstheme="minorBidi"/>
          <w:b w:val="0"/>
          <w:bCs w:val="0"/>
        </w:rPr>
        <w:t>sought to engage young people with lived experience in their recruitment approaches</w:t>
      </w:r>
      <w:r w:rsidR="001C09EF" w:rsidRPr="007F636B">
        <w:rPr>
          <w:rFonts w:eastAsiaTheme="minorHAnsi" w:cstheme="minorBidi"/>
          <w:b w:val="0"/>
          <w:bCs w:val="0"/>
        </w:rPr>
        <w:t>.</w:t>
      </w:r>
      <w:r w:rsidRPr="007F636B">
        <w:rPr>
          <w:rFonts w:eastAsiaTheme="minorHAnsi" w:cstheme="minorBidi"/>
          <w:b w:val="0"/>
          <w:bCs w:val="0"/>
        </w:rPr>
        <w:t xml:space="preserve"> </w:t>
      </w:r>
      <w:r w:rsidR="00F8112B" w:rsidRPr="007F636B">
        <w:rPr>
          <w:rFonts w:eastAsiaTheme="minorHAnsi" w:cstheme="minorBidi"/>
          <w:b w:val="0"/>
          <w:bCs w:val="0"/>
        </w:rPr>
        <w:t xml:space="preserve">For example, </w:t>
      </w:r>
      <w:r w:rsidR="00DB5D59" w:rsidRPr="007F636B">
        <w:rPr>
          <w:rFonts w:eastAsiaTheme="minorHAnsi" w:cstheme="minorBidi"/>
          <w:b w:val="0"/>
          <w:bCs w:val="0"/>
        </w:rPr>
        <w:t>young people</w:t>
      </w:r>
      <w:r w:rsidR="001C09EF" w:rsidRPr="007F636B">
        <w:rPr>
          <w:rFonts w:eastAsiaTheme="minorHAnsi" w:cstheme="minorBidi"/>
          <w:b w:val="0"/>
          <w:bCs w:val="0"/>
        </w:rPr>
        <w:t xml:space="preserve"> who had experienced </w:t>
      </w:r>
      <w:r w:rsidR="00981281" w:rsidRPr="007F636B">
        <w:rPr>
          <w:rFonts w:eastAsiaTheme="minorHAnsi" w:cstheme="minorBidi"/>
          <w:b w:val="0"/>
          <w:bCs w:val="0"/>
        </w:rPr>
        <w:t>bereavement</w:t>
      </w:r>
      <w:r w:rsidR="006B4FB1" w:rsidRPr="007F636B">
        <w:rPr>
          <w:rFonts w:eastAsiaTheme="minorHAnsi" w:cstheme="minorBidi"/>
          <w:b w:val="0"/>
          <w:bCs w:val="0"/>
        </w:rPr>
        <w:t xml:space="preserve"> were sought for the bereavement projects and all young people taking part in </w:t>
      </w:r>
      <w:r w:rsidR="007D20F1" w:rsidRPr="007F636B">
        <w:rPr>
          <w:rFonts w:eastAsiaTheme="minorHAnsi" w:cstheme="minorBidi"/>
          <w:b w:val="0"/>
          <w:bCs w:val="0"/>
        </w:rPr>
        <w:t>School Transition</w:t>
      </w:r>
      <w:r w:rsidR="001C09EF" w:rsidRPr="007F636B">
        <w:rPr>
          <w:rFonts w:eastAsiaTheme="minorHAnsi" w:cstheme="minorBidi"/>
          <w:b w:val="0"/>
          <w:bCs w:val="0"/>
        </w:rPr>
        <w:t xml:space="preserve"> projects</w:t>
      </w:r>
      <w:r w:rsidR="006B4FB1" w:rsidRPr="007F636B">
        <w:rPr>
          <w:rFonts w:eastAsiaTheme="minorHAnsi" w:cstheme="minorBidi"/>
          <w:b w:val="0"/>
          <w:bCs w:val="0"/>
        </w:rPr>
        <w:t xml:space="preserve"> had transitioned to secondary school in the past academic year. Some School Transition projects went further to secure the intended audience; for example, recruiting young people in school that teaching staff reported experienced a vulnerability</w:t>
      </w:r>
      <w:r w:rsidR="0056448A" w:rsidRPr="007F636B">
        <w:rPr>
          <w:rFonts w:eastAsiaTheme="minorHAnsi" w:cstheme="minorBidi"/>
          <w:b w:val="0"/>
          <w:bCs w:val="0"/>
        </w:rPr>
        <w:t xml:space="preserve"> </w:t>
      </w:r>
      <w:r w:rsidR="00981281" w:rsidRPr="007F636B">
        <w:rPr>
          <w:rFonts w:eastAsiaTheme="minorHAnsi" w:cstheme="minorBidi"/>
          <w:b w:val="0"/>
          <w:bCs w:val="0"/>
        </w:rPr>
        <w:t>in some way</w:t>
      </w:r>
      <w:r w:rsidR="00DB4623" w:rsidRPr="007F636B">
        <w:rPr>
          <w:rFonts w:eastAsiaTheme="minorHAnsi" w:cstheme="minorBidi"/>
          <w:b w:val="0"/>
          <w:bCs w:val="0"/>
        </w:rPr>
        <w:t>,</w:t>
      </w:r>
      <w:r w:rsidR="00981281" w:rsidRPr="007F636B">
        <w:rPr>
          <w:rFonts w:eastAsiaTheme="minorHAnsi" w:cstheme="minorBidi"/>
          <w:b w:val="0"/>
          <w:bCs w:val="0"/>
        </w:rPr>
        <w:t xml:space="preserve"> or</w:t>
      </w:r>
      <w:r w:rsidR="00DB4623" w:rsidRPr="007F636B">
        <w:rPr>
          <w:rFonts w:eastAsiaTheme="minorHAnsi" w:cstheme="minorBidi"/>
          <w:b w:val="0"/>
          <w:bCs w:val="0"/>
        </w:rPr>
        <w:t xml:space="preserve"> those</w:t>
      </w:r>
      <w:r w:rsidR="00981281" w:rsidRPr="007F636B">
        <w:rPr>
          <w:rFonts w:eastAsiaTheme="minorHAnsi" w:cstheme="minorBidi"/>
          <w:b w:val="0"/>
          <w:bCs w:val="0"/>
        </w:rPr>
        <w:t xml:space="preserve"> at risk of exclusion</w:t>
      </w:r>
      <w:r w:rsidR="0056448A" w:rsidRPr="007F636B">
        <w:rPr>
          <w:rFonts w:eastAsiaTheme="minorHAnsi" w:cstheme="minorBidi"/>
          <w:b w:val="0"/>
          <w:bCs w:val="0"/>
        </w:rPr>
        <w:t>.</w:t>
      </w:r>
    </w:p>
    <w:p w14:paraId="254C57EA" w14:textId="0CDD2307" w:rsidR="008D55B8" w:rsidRDefault="007D20F1" w:rsidP="0056746F">
      <w:pPr>
        <w:pStyle w:val="BodyText"/>
      </w:pPr>
      <w:r>
        <w:t>Community Spaces</w:t>
      </w:r>
      <w:r w:rsidR="000D091E">
        <w:t xml:space="preserve"> projects followed a</w:t>
      </w:r>
      <w:r w:rsidR="00981281">
        <w:t xml:space="preserve"> more varied</w:t>
      </w:r>
      <w:r w:rsidR="000D091E">
        <w:t xml:space="preserve"> definition of </w:t>
      </w:r>
      <w:r w:rsidR="0094687B">
        <w:t xml:space="preserve">lived experience that generally related to different groups of </w:t>
      </w:r>
      <w:r w:rsidR="00DB5D59">
        <w:t>young people</w:t>
      </w:r>
      <w:r w:rsidR="00DB4623">
        <w:t xml:space="preserve"> that were less able to access</w:t>
      </w:r>
      <w:r w:rsidR="0094687B">
        <w:t xml:space="preserve"> local spaces and services</w:t>
      </w:r>
      <w:r w:rsidR="008D55B8">
        <w:t>. For example, young people identified as having s</w:t>
      </w:r>
      <w:r w:rsidR="008D55B8" w:rsidRPr="008D55B8">
        <w:t>pecial educational needs and disabilities</w:t>
      </w:r>
      <w:r w:rsidR="00DB4623">
        <w:t xml:space="preserve"> </w:t>
      </w:r>
      <w:r w:rsidR="008D55B8">
        <w:t xml:space="preserve">(SEND). </w:t>
      </w:r>
    </w:p>
    <w:p w14:paraId="5E7A0B34" w14:textId="5D956999" w:rsidR="001C09EF" w:rsidRDefault="008D55B8" w:rsidP="0056746F">
      <w:pPr>
        <w:pStyle w:val="BodyText"/>
      </w:pPr>
      <w:r>
        <w:t>Y</w:t>
      </w:r>
      <w:r w:rsidR="00092B3B">
        <w:t>oung people with lived experience</w:t>
      </w:r>
      <w:r w:rsidR="0094687B">
        <w:t xml:space="preserve"> was not a requirement for taking part</w:t>
      </w:r>
      <w:r>
        <w:t xml:space="preserve"> in one project</w:t>
      </w:r>
      <w:r w:rsidR="00092B3B">
        <w:t>; the project was open to all young people interested in addressing a challenge in their community</w:t>
      </w:r>
      <w:r w:rsidR="0094687B">
        <w:t>.</w:t>
      </w:r>
    </w:p>
    <w:p w14:paraId="391A0603" w14:textId="60764B7B" w:rsidR="008B12B1" w:rsidRPr="00705E88" w:rsidRDefault="006A74ED" w:rsidP="00705E88">
      <w:pPr>
        <w:pStyle w:val="BodyText"/>
      </w:pPr>
      <w:r w:rsidRPr="00705E88">
        <w:rPr>
          <w:b/>
          <w:bCs/>
          <w:noProof/>
        </w:rPr>
        <w:drawing>
          <wp:anchor distT="0" distB="0" distL="114300" distR="114300" simplePos="0" relativeHeight="251668480" behindDoc="1" locked="0" layoutInCell="1" allowOverlap="1" wp14:anchorId="1F249F6E" wp14:editId="221F520E">
            <wp:simplePos x="0" y="0"/>
            <wp:positionH relativeFrom="column">
              <wp:posOffset>0</wp:posOffset>
            </wp:positionH>
            <wp:positionV relativeFrom="paragraph">
              <wp:posOffset>47976</wp:posOffset>
            </wp:positionV>
            <wp:extent cx="565785" cy="565785"/>
            <wp:effectExtent l="0" t="0" r="5715" b="5715"/>
            <wp:wrapTight wrapText="bothSides">
              <wp:wrapPolygon edited="0">
                <wp:start x="0" y="0"/>
                <wp:lineTo x="0" y="21091"/>
                <wp:lineTo x="21091" y="21091"/>
                <wp:lineTo x="21091" y="0"/>
                <wp:lineTo x="0" y="0"/>
              </wp:wrapPolygon>
            </wp:wrapTight>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2B1" w:rsidRPr="00705E88">
        <w:rPr>
          <w:b/>
          <w:bCs/>
        </w:rPr>
        <w:t>Wellbeing</w:t>
      </w:r>
      <w:r w:rsidR="004B5582" w:rsidRPr="00705E88">
        <w:rPr>
          <w:b/>
          <w:bCs/>
        </w:rPr>
        <w:t>:</w:t>
      </w:r>
      <w:r w:rsidR="004B5582">
        <w:t xml:space="preserve"> </w:t>
      </w:r>
      <w:r w:rsidR="00F47DCA" w:rsidRPr="00705E88">
        <w:t xml:space="preserve">The Co-op’s #iwill </w:t>
      </w:r>
      <w:r w:rsidR="00E23E62" w:rsidRPr="00705E88">
        <w:t>Fund</w:t>
      </w:r>
      <w:r w:rsidR="00F47DCA" w:rsidRPr="00705E88">
        <w:t xml:space="preserve"> aimed </w:t>
      </w:r>
      <w:r w:rsidR="008B12B1" w:rsidRPr="00705E88">
        <w:t>for young people to build resilience, and become better equipped to cope with challenging situations</w:t>
      </w:r>
      <w:r w:rsidR="00F47DCA" w:rsidRPr="00705E88">
        <w:t xml:space="preserve"> through project participation</w:t>
      </w:r>
      <w:r w:rsidR="008B12B1" w:rsidRPr="00705E88">
        <w:t xml:space="preserve">. Both of these outcomes were expected within two years of the start of the </w:t>
      </w:r>
      <w:r w:rsidR="00E23E62" w:rsidRPr="00705E88">
        <w:t>Fund</w:t>
      </w:r>
      <w:r w:rsidR="00092B3B" w:rsidRPr="00705E88">
        <w:t xml:space="preserve"> so they are not expected to be fully realised by projects yet.</w:t>
      </w:r>
    </w:p>
    <w:tbl>
      <w:tblPr>
        <w:tblStyle w:val="IFFtable"/>
        <w:tblpPr w:leftFromText="180" w:rightFromText="180" w:vertAnchor="text" w:horzAnchor="margin" w:tblpY="27"/>
        <w:tblW w:w="0" w:type="auto"/>
        <w:tblInd w:w="0" w:type="dxa"/>
        <w:tblLook w:val="04A0" w:firstRow="1" w:lastRow="0" w:firstColumn="1" w:lastColumn="0" w:noHBand="0" w:noVBand="1"/>
      </w:tblPr>
      <w:tblGrid>
        <w:gridCol w:w="1271"/>
        <w:gridCol w:w="7970"/>
      </w:tblGrid>
      <w:tr w:rsidR="00705E88" w14:paraId="78DFBDE1" w14:textId="77777777" w:rsidTr="00ED6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68F9640" w14:textId="77777777" w:rsidR="00705E88" w:rsidRDefault="00705E88" w:rsidP="00ED6069">
            <w:pPr>
              <w:pStyle w:val="Heading3"/>
              <w:spacing w:line="288" w:lineRule="auto"/>
              <w:outlineLvl w:val="2"/>
            </w:pPr>
            <w:r>
              <w:t>Numbers achieved</w:t>
            </w:r>
          </w:p>
        </w:tc>
        <w:tc>
          <w:tcPr>
            <w:tcW w:w="7970" w:type="dxa"/>
            <w:shd w:val="clear" w:color="auto" w:fill="EDF5D7" w:themeFill="accent1" w:themeFillTint="33"/>
          </w:tcPr>
          <w:p w14:paraId="6D83EB1E" w14:textId="44F8ACAA" w:rsidR="00705E88" w:rsidRDefault="00705E88" w:rsidP="00ED6069">
            <w:pPr>
              <w:pStyle w:val="BodyText"/>
              <w:cnfStyle w:val="100000000000" w:firstRow="1" w:lastRow="0" w:firstColumn="0" w:lastColumn="0" w:oddVBand="0" w:evenVBand="0" w:oddHBand="0" w:evenHBand="0" w:firstRowFirstColumn="0" w:firstRowLastColumn="0" w:lastRowFirstColumn="0" w:lastRowLastColumn="0"/>
            </w:pPr>
            <w:r>
              <w:rPr>
                <w:color w:val="auto"/>
              </w:rPr>
              <w:t>M</w:t>
            </w:r>
            <w:r w:rsidRPr="00705E88">
              <w:rPr>
                <w:color w:val="auto"/>
              </w:rPr>
              <w:t xml:space="preserve">ost projects felt that young people had already shown early signs of improved wellbeing, with </w:t>
            </w:r>
            <w:r w:rsidRPr="00705E88">
              <w:rPr>
                <w:b/>
                <w:bCs/>
                <w:color w:val="auto"/>
              </w:rPr>
              <w:t>1,975 young people across 12 of the 21 projects making progress towards building resilience</w:t>
            </w:r>
            <w:r w:rsidRPr="00705E88">
              <w:rPr>
                <w:color w:val="auto"/>
              </w:rPr>
              <w:t>.</w:t>
            </w:r>
          </w:p>
        </w:tc>
      </w:tr>
    </w:tbl>
    <w:p w14:paraId="577FAE64" w14:textId="77777777" w:rsidR="00705E88" w:rsidRDefault="00705E88" w:rsidP="008B12B1">
      <w:pPr>
        <w:pStyle w:val="BodyText"/>
      </w:pPr>
    </w:p>
    <w:p w14:paraId="2A65EFB3" w14:textId="3A43D643" w:rsidR="007F106B" w:rsidRDefault="007F106B" w:rsidP="008B12B1">
      <w:pPr>
        <w:pStyle w:val="BodyText"/>
      </w:pPr>
      <w:r>
        <w:t>Interviews with project leads and staff provides a better understanding of how resilience is understood by projects. When speaking about improved resilience, examples mainly</w:t>
      </w:r>
      <w:r w:rsidR="008B12B1" w:rsidRPr="004042E2">
        <w:t xml:space="preserve"> focused </w:t>
      </w:r>
      <w:r w:rsidR="00672A42" w:rsidRPr="004042E2">
        <w:t>on</w:t>
      </w:r>
      <w:r w:rsidR="008B12B1" w:rsidRPr="004042E2">
        <w:t xml:space="preserve"> </w:t>
      </w:r>
      <w:r w:rsidR="008B12B1">
        <w:t xml:space="preserve">mental health, </w:t>
      </w:r>
      <w:r w:rsidR="008B12B1" w:rsidRPr="004042E2">
        <w:t xml:space="preserve">feeling confident to talk about sensitive issues and </w:t>
      </w:r>
      <w:r w:rsidR="008B12B1">
        <w:t>group bonding</w:t>
      </w:r>
      <w:r w:rsidR="008B12B1" w:rsidRPr="004042E2">
        <w:t xml:space="preserve"> </w:t>
      </w:r>
      <w:r w:rsidR="008B12B1">
        <w:t xml:space="preserve">through shared </w:t>
      </w:r>
      <w:r w:rsidR="008B12B1" w:rsidRPr="004042E2">
        <w:t xml:space="preserve">experiences, rather than </w:t>
      </w:r>
      <w:r w:rsidR="008B12B1">
        <w:t xml:space="preserve">specifically </w:t>
      </w:r>
      <w:r w:rsidR="008B12B1" w:rsidRPr="004042E2">
        <w:t>about resilience.</w:t>
      </w:r>
      <w:r w:rsidR="008B12B1">
        <w:t xml:space="preserve"> </w:t>
      </w:r>
    </w:p>
    <w:p w14:paraId="366570AA" w14:textId="37BB6030" w:rsidR="008B12B1" w:rsidRDefault="008B12B1" w:rsidP="008B12B1">
      <w:pPr>
        <w:pStyle w:val="BodyText"/>
      </w:pPr>
      <w:r>
        <w:t xml:space="preserve">Less than a third of projects (6/21 totalling 185 young people) reported that young people had become better equipped to deal with challenging situations. </w:t>
      </w:r>
    </w:p>
    <w:p w14:paraId="6485A678" w14:textId="30522C34" w:rsidR="008B12B1" w:rsidRDefault="00672A42" w:rsidP="00132291">
      <w:pPr>
        <w:pStyle w:val="BodyText"/>
      </w:pPr>
      <w:r>
        <w:t xml:space="preserve">For example, </w:t>
      </w:r>
      <w:r w:rsidR="007F106B">
        <w:t xml:space="preserve">young people were observed by project leads in </w:t>
      </w:r>
      <w:r w:rsidR="007F636B">
        <w:t>a School Transitions project</w:t>
      </w:r>
      <w:r w:rsidR="00132291">
        <w:t xml:space="preserve"> </w:t>
      </w:r>
      <w:r w:rsidR="008B12B1">
        <w:t xml:space="preserve">applying skills learned in boxing and debating to </w:t>
      </w:r>
      <w:r w:rsidR="007F106B">
        <w:t>deal</w:t>
      </w:r>
      <w:r w:rsidR="008B12B1">
        <w:t xml:space="preserve"> with conflict with teacher</w:t>
      </w:r>
      <w:r>
        <w:t>s.</w:t>
      </w:r>
      <w:r w:rsidR="008B12B1">
        <w:t xml:space="preserve"> </w:t>
      </w:r>
      <w:r w:rsidR="00015D58">
        <w:t xml:space="preserve">Some </w:t>
      </w:r>
      <w:r w:rsidR="008B12B1">
        <w:t>Community Spaces</w:t>
      </w:r>
      <w:r w:rsidR="00015D58">
        <w:t xml:space="preserve"> projects</w:t>
      </w:r>
      <w:r w:rsidR="008B12B1">
        <w:t xml:space="preserve"> </w:t>
      </w:r>
      <w:r w:rsidR="005A767F">
        <w:t>reported</w:t>
      </w:r>
      <w:r w:rsidR="008B12B1">
        <w:t xml:space="preserve"> making a podcast about emotional wellbeing or learning skills to deal with challenging situations </w:t>
      </w:r>
      <w:r w:rsidR="005A767F">
        <w:t>like</w:t>
      </w:r>
      <w:r w:rsidR="008B12B1">
        <w:t xml:space="preserve"> pitching ideas to a panel.</w:t>
      </w:r>
      <w:r w:rsidR="005A767F">
        <w:t xml:space="preserve"> B</w:t>
      </w:r>
      <w:r w:rsidR="008B12B1">
        <w:t xml:space="preserve">ereavement projects tended to focus on the general emotional wellbeing of young people, as demonstrated by their willingness to talk about sensitive issues. </w:t>
      </w:r>
    </w:p>
    <w:p w14:paraId="7C9FBD28" w14:textId="0C95A440" w:rsidR="008B12B1" w:rsidRDefault="006A74ED" w:rsidP="00132291">
      <w:pPr>
        <w:pStyle w:val="Heading3"/>
        <w:spacing w:line="288" w:lineRule="auto"/>
        <w:rPr>
          <w:b w:val="0"/>
          <w:bCs w:val="0"/>
        </w:rPr>
      </w:pPr>
      <w:r>
        <w:rPr>
          <w:noProof/>
        </w:rPr>
        <w:drawing>
          <wp:anchor distT="0" distB="0" distL="114300" distR="114300" simplePos="0" relativeHeight="251666432" behindDoc="1" locked="0" layoutInCell="1" allowOverlap="1" wp14:anchorId="5A8BCA92" wp14:editId="16DB9E1A">
            <wp:simplePos x="0" y="0"/>
            <wp:positionH relativeFrom="column">
              <wp:posOffset>31750</wp:posOffset>
            </wp:positionH>
            <wp:positionV relativeFrom="paragraph">
              <wp:posOffset>5080</wp:posOffset>
            </wp:positionV>
            <wp:extent cx="532130" cy="532130"/>
            <wp:effectExtent l="0" t="0" r="1270" b="1270"/>
            <wp:wrapTight wrapText="bothSides">
              <wp:wrapPolygon edited="0">
                <wp:start x="0" y="0"/>
                <wp:lineTo x="0" y="20878"/>
                <wp:lineTo x="20878" y="20878"/>
                <wp:lineTo x="208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2B1" w:rsidRPr="00147A43">
        <w:t>Confidence</w:t>
      </w:r>
      <w:r w:rsidR="004B5582">
        <w:t xml:space="preserve">: </w:t>
      </w:r>
      <w:r w:rsidR="00A54C57" w:rsidRPr="000161BB">
        <w:rPr>
          <w:b w:val="0"/>
          <w:bCs w:val="0"/>
        </w:rPr>
        <w:t xml:space="preserve">The Co-op </w:t>
      </w:r>
      <w:r w:rsidR="007F106B">
        <w:rPr>
          <w:b w:val="0"/>
          <w:bCs w:val="0"/>
        </w:rPr>
        <w:t xml:space="preserve">Foundation </w:t>
      </w:r>
      <w:r w:rsidR="00A54C57" w:rsidRPr="000161BB">
        <w:rPr>
          <w:b w:val="0"/>
          <w:bCs w:val="0"/>
        </w:rPr>
        <w:t xml:space="preserve">also hoped that involvement in the #iwill projects would bring young people increased confidence: both </w:t>
      </w:r>
      <w:r w:rsidR="008B12B1" w:rsidRPr="000161BB">
        <w:rPr>
          <w:b w:val="0"/>
          <w:bCs w:val="0"/>
        </w:rPr>
        <w:t>confidence in themselves to set meaningful personal goal</w:t>
      </w:r>
      <w:r w:rsidR="00A54C57" w:rsidRPr="000161BB">
        <w:rPr>
          <w:b w:val="0"/>
          <w:bCs w:val="0"/>
        </w:rPr>
        <w:t>s</w:t>
      </w:r>
      <w:r w:rsidR="008B12B1" w:rsidRPr="000161BB">
        <w:rPr>
          <w:b w:val="0"/>
          <w:bCs w:val="0"/>
        </w:rPr>
        <w:t>; and the confidence to support others</w:t>
      </w:r>
      <w:r w:rsidR="005A767F" w:rsidRPr="000161BB">
        <w:rPr>
          <w:b w:val="0"/>
          <w:bCs w:val="0"/>
        </w:rPr>
        <w:t>, like their peers</w:t>
      </w:r>
      <w:r w:rsidR="008B12B1" w:rsidRPr="000161BB">
        <w:rPr>
          <w:b w:val="0"/>
          <w:bCs w:val="0"/>
        </w:rPr>
        <w:t>.</w:t>
      </w:r>
      <w:r w:rsidR="007F106B">
        <w:rPr>
          <w:b w:val="0"/>
          <w:bCs w:val="0"/>
        </w:rPr>
        <w:t xml:space="preserve"> </w:t>
      </w:r>
    </w:p>
    <w:tbl>
      <w:tblPr>
        <w:tblStyle w:val="IFFtable"/>
        <w:tblpPr w:leftFromText="180" w:rightFromText="180" w:vertAnchor="text" w:horzAnchor="margin" w:tblpY="27"/>
        <w:tblW w:w="0" w:type="auto"/>
        <w:tblInd w:w="0" w:type="dxa"/>
        <w:tblLook w:val="04A0" w:firstRow="1" w:lastRow="0" w:firstColumn="1" w:lastColumn="0" w:noHBand="0" w:noVBand="1"/>
      </w:tblPr>
      <w:tblGrid>
        <w:gridCol w:w="1271"/>
        <w:gridCol w:w="7970"/>
      </w:tblGrid>
      <w:tr w:rsidR="00705E88" w14:paraId="07C28422" w14:textId="77777777" w:rsidTr="00ED6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A844395" w14:textId="77777777" w:rsidR="00705E88" w:rsidRDefault="00705E88" w:rsidP="00ED6069">
            <w:pPr>
              <w:pStyle w:val="Heading3"/>
              <w:spacing w:line="288" w:lineRule="auto"/>
              <w:outlineLvl w:val="2"/>
            </w:pPr>
            <w:r>
              <w:t>Numbers achieved</w:t>
            </w:r>
          </w:p>
        </w:tc>
        <w:tc>
          <w:tcPr>
            <w:tcW w:w="7970" w:type="dxa"/>
            <w:shd w:val="clear" w:color="auto" w:fill="EDF5D7" w:themeFill="accent1" w:themeFillTint="33"/>
          </w:tcPr>
          <w:p w14:paraId="3F219E4B" w14:textId="633F5C58" w:rsidR="00705E88" w:rsidRDefault="00705E88" w:rsidP="00705E88">
            <w:pPr>
              <w:pStyle w:val="BodyText"/>
              <w:cnfStyle w:val="100000000000" w:firstRow="1" w:lastRow="0" w:firstColumn="0" w:lastColumn="0" w:oddVBand="0" w:evenVBand="0" w:oddHBand="0" w:evenHBand="0" w:firstRowFirstColumn="0" w:firstRowLastColumn="0" w:lastRowFirstColumn="0" w:lastRowLastColumn="0"/>
            </w:pPr>
            <w:r w:rsidRPr="00705E88">
              <w:rPr>
                <w:color w:val="auto"/>
              </w:rPr>
              <w:t xml:space="preserve">Around </w:t>
            </w:r>
            <w:r w:rsidRPr="00CC6832">
              <w:rPr>
                <w:b/>
                <w:bCs/>
                <w:color w:val="auto"/>
              </w:rPr>
              <w:t xml:space="preserve">a third of projects (7/21 projects totalling 464 young people) reported young people had the confidence in themselves to set goals, or the confidence to support others </w:t>
            </w:r>
            <w:r w:rsidRPr="00705E88">
              <w:rPr>
                <w:color w:val="auto"/>
              </w:rPr>
              <w:t xml:space="preserve">(7/21 projects totalling 131 young people). </w:t>
            </w:r>
          </w:p>
        </w:tc>
      </w:tr>
    </w:tbl>
    <w:p w14:paraId="63CAEA1D" w14:textId="77777777" w:rsidR="00705E88" w:rsidRPr="00705E88" w:rsidRDefault="00705E88" w:rsidP="00705E88">
      <w:pPr>
        <w:pStyle w:val="BodyText"/>
      </w:pPr>
    </w:p>
    <w:p w14:paraId="36E63390" w14:textId="1DBDAF1D" w:rsidR="008B12B1" w:rsidRPr="0056746F" w:rsidRDefault="00015D58" w:rsidP="008B12B1">
      <w:pPr>
        <w:pStyle w:val="BodyText"/>
      </w:pPr>
      <w:r>
        <w:t xml:space="preserve">Interviews with grant managers suggest </w:t>
      </w:r>
      <w:r w:rsidR="008B12B1" w:rsidRPr="00961711">
        <w:t xml:space="preserve">projects </w:t>
      </w:r>
      <w:r w:rsidR="008B12B1">
        <w:t>across all three strands</w:t>
      </w:r>
      <w:r w:rsidR="008B12B1" w:rsidRPr="00961711">
        <w:t xml:space="preserve"> interpret</w:t>
      </w:r>
      <w:r>
        <w:t>ed</w:t>
      </w:r>
      <w:r w:rsidR="008B12B1" w:rsidRPr="00961711">
        <w:t xml:space="preserve"> improved confidence through the lens of social confidence within a group setting</w:t>
      </w:r>
      <w:r>
        <w:t>; this differs from the intended</w:t>
      </w:r>
      <w:r w:rsidR="008B12B1" w:rsidRPr="00961711">
        <w:t xml:space="preserve"> focus </w:t>
      </w:r>
      <w:r w:rsidR="008B12B1">
        <w:t>of</w:t>
      </w:r>
      <w:r w:rsidR="008B12B1" w:rsidRPr="00961711">
        <w:t xml:space="preserve"> these </w:t>
      </w:r>
      <w:r w:rsidR="008B12B1" w:rsidRPr="00961711">
        <w:lastRenderedPageBreak/>
        <w:t xml:space="preserve">outcomes on </w:t>
      </w:r>
      <w:r w:rsidR="00BC0777" w:rsidRPr="00961711">
        <w:t>goal setting</w:t>
      </w:r>
      <w:r w:rsidR="008B12B1" w:rsidRPr="00961711">
        <w:t xml:space="preserve"> and supporting others. </w:t>
      </w:r>
      <w:r w:rsidR="005B034F">
        <w:t>T</w:t>
      </w:r>
      <w:r w:rsidR="008B12B1" w:rsidRPr="00961711">
        <w:t xml:space="preserve">here were many inspiring examples of </w:t>
      </w:r>
      <w:r w:rsidR="008B12B1">
        <w:t>young people</w:t>
      </w:r>
      <w:r w:rsidR="008B12B1" w:rsidRPr="00961711">
        <w:t xml:space="preserve"> improving their social confidence, and </w:t>
      </w:r>
      <w:r w:rsidR="008B12B1">
        <w:t>young people proud of their</w:t>
      </w:r>
      <w:r w:rsidR="008B12B1" w:rsidRPr="00961711">
        <w:t xml:space="preserve"> contribut</w:t>
      </w:r>
      <w:r w:rsidR="008B12B1">
        <w:t>ion</w:t>
      </w:r>
      <w:r w:rsidR="008B12B1" w:rsidRPr="00961711">
        <w:t xml:space="preserve"> to the success of </w:t>
      </w:r>
      <w:r w:rsidR="008B12B1">
        <w:t>youth social action</w:t>
      </w:r>
      <w:r w:rsidR="008B12B1" w:rsidRPr="00961711">
        <w:t xml:space="preserve"> projects</w:t>
      </w:r>
      <w:r w:rsidR="005B034F">
        <w:t xml:space="preserve">. There were </w:t>
      </w:r>
      <w:r w:rsidR="008B12B1" w:rsidRPr="00961711">
        <w:t xml:space="preserve">few explicit mentions of confidence in setting personal goals. This may be an indication that this particular outcome needs </w:t>
      </w:r>
      <w:r>
        <w:t>refining</w:t>
      </w:r>
      <w:r w:rsidR="008B12B1" w:rsidRPr="00961711">
        <w:t>, or to flag to projects that this is an important element of the outcomes which may need renewed focus.</w:t>
      </w:r>
    </w:p>
    <w:p w14:paraId="3854F7DA" w14:textId="7BEC8765" w:rsidR="008B12B1" w:rsidRDefault="005B034F" w:rsidP="008B12B1">
      <w:pPr>
        <w:pStyle w:val="BodyText"/>
      </w:pPr>
      <w:r>
        <w:t xml:space="preserve">Evidence so far suggests few projects have an explicit peer support element. This may emerge, as project delivery gets more underway in the second half of Year 1. </w:t>
      </w:r>
      <w:r w:rsidR="008B12B1">
        <w:t>School Transition</w:t>
      </w:r>
      <w:r w:rsidR="000228B7">
        <w:t xml:space="preserve"> and some Community Spaces</w:t>
      </w:r>
      <w:r w:rsidR="008B12B1">
        <w:t xml:space="preserve"> projects were </w:t>
      </w:r>
      <w:r>
        <w:t>the</w:t>
      </w:r>
      <w:r w:rsidR="008B12B1">
        <w:t xml:space="preserve"> exception</w:t>
      </w:r>
      <w:r w:rsidR="000228B7">
        <w:t xml:space="preserve">; </w:t>
      </w:r>
      <w:r w:rsidR="008B12B1">
        <w:t xml:space="preserve">older and younger students </w:t>
      </w:r>
      <w:r w:rsidR="000228B7">
        <w:t xml:space="preserve">and people </w:t>
      </w:r>
      <w:r w:rsidR="008B12B1">
        <w:t xml:space="preserve">were grouped together to collaborate on activities, and the older group gained experience of </w:t>
      </w:r>
      <w:r w:rsidR="000228B7">
        <w:t xml:space="preserve">delivering </w:t>
      </w:r>
      <w:r w:rsidR="008B12B1">
        <w:t>peer support</w:t>
      </w:r>
      <w:r w:rsidR="000228B7">
        <w:t xml:space="preserve"> to their younger counterparts</w:t>
      </w:r>
      <w:r w:rsidR="008B12B1">
        <w:t xml:space="preserve">. Across both strands, </w:t>
      </w:r>
      <w:r w:rsidR="00015D58">
        <w:t xml:space="preserve">few </w:t>
      </w:r>
      <w:r w:rsidR="008B12B1">
        <w:t xml:space="preserve">projects reported that building in a peer-review element to group activities helped to promote </w:t>
      </w:r>
      <w:r w:rsidR="000228B7">
        <w:t>confidence among young people in delivering peer support.</w:t>
      </w:r>
    </w:p>
    <w:p w14:paraId="311077DB" w14:textId="6DA28052" w:rsidR="008B12B1" w:rsidRDefault="008B12B1" w:rsidP="00F4207F">
      <w:pPr>
        <w:pStyle w:val="BodyText"/>
        <w:spacing w:beforeLines="120" w:before="288"/>
      </w:pPr>
      <w:r w:rsidRPr="0056746F">
        <w:t xml:space="preserve">None of the </w:t>
      </w:r>
      <w:r>
        <w:t>Bereavement</w:t>
      </w:r>
      <w:r w:rsidRPr="0056746F">
        <w:t xml:space="preserve"> </w:t>
      </w:r>
      <w:r>
        <w:t xml:space="preserve">projects </w:t>
      </w:r>
      <w:r w:rsidRPr="0056746F">
        <w:t xml:space="preserve">had </w:t>
      </w:r>
      <w:r w:rsidR="000228B7">
        <w:t>begun</w:t>
      </w:r>
      <w:r>
        <w:t xml:space="preserve"> </w:t>
      </w:r>
      <w:r w:rsidRPr="0056746F">
        <w:t xml:space="preserve">peer support </w:t>
      </w:r>
      <w:r w:rsidR="000228B7">
        <w:t>activities</w:t>
      </w:r>
      <w:r>
        <w:t>,</w:t>
      </w:r>
      <w:r w:rsidRPr="0056746F">
        <w:t xml:space="preserve"> although </w:t>
      </w:r>
      <w:r>
        <w:t xml:space="preserve">several </w:t>
      </w:r>
      <w:r w:rsidRPr="0056746F">
        <w:t xml:space="preserve">noted </w:t>
      </w:r>
      <w:r>
        <w:t>that young people had begun to support one-another more in their discussion of sensitive topics.</w:t>
      </w:r>
    </w:p>
    <w:p w14:paraId="3C6B0F69" w14:textId="1078BF8B" w:rsidR="002438F1" w:rsidRDefault="00015D58" w:rsidP="00F4207F">
      <w:pPr>
        <w:pStyle w:val="Heading3"/>
        <w:spacing w:beforeLines="120" w:before="288" w:line="288" w:lineRule="auto"/>
        <w:rPr>
          <w:b w:val="0"/>
          <w:bCs w:val="0"/>
        </w:rPr>
      </w:pPr>
      <w:r>
        <w:rPr>
          <w:noProof/>
        </w:rPr>
        <w:drawing>
          <wp:anchor distT="0" distB="0" distL="114300" distR="114300" simplePos="0" relativeHeight="251664384" behindDoc="1" locked="0" layoutInCell="1" allowOverlap="1" wp14:anchorId="4460CC31" wp14:editId="24137B69">
            <wp:simplePos x="0" y="0"/>
            <wp:positionH relativeFrom="column">
              <wp:posOffset>-2540</wp:posOffset>
            </wp:positionH>
            <wp:positionV relativeFrom="paragraph">
              <wp:posOffset>17780</wp:posOffset>
            </wp:positionV>
            <wp:extent cx="552450" cy="552450"/>
            <wp:effectExtent l="0" t="0" r="0" b="0"/>
            <wp:wrapTight wrapText="bothSides">
              <wp:wrapPolygon edited="0">
                <wp:start x="0" y="0"/>
                <wp:lineTo x="0" y="20855"/>
                <wp:lineTo x="20855" y="20855"/>
                <wp:lineTo x="208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F1" w:rsidRPr="00147A43">
        <w:t>Connectedness</w:t>
      </w:r>
      <w:r w:rsidR="004B5582">
        <w:t xml:space="preserve">: </w:t>
      </w:r>
      <w:r w:rsidR="006B4FB1" w:rsidRPr="000161BB">
        <w:rPr>
          <w:b w:val="0"/>
          <w:bCs w:val="0"/>
        </w:rPr>
        <w:t xml:space="preserve">The Co-op’s #iwill </w:t>
      </w:r>
      <w:r w:rsidR="00E23E62">
        <w:rPr>
          <w:b w:val="0"/>
          <w:bCs w:val="0"/>
        </w:rPr>
        <w:t>Fund</w:t>
      </w:r>
      <w:r w:rsidR="006B4FB1" w:rsidRPr="000161BB">
        <w:rPr>
          <w:b w:val="0"/>
          <w:bCs w:val="0"/>
        </w:rPr>
        <w:t xml:space="preserve"> also </w:t>
      </w:r>
      <w:r w:rsidR="00A54C57" w:rsidRPr="000161BB">
        <w:rPr>
          <w:b w:val="0"/>
          <w:bCs w:val="0"/>
        </w:rPr>
        <w:t xml:space="preserve">sought </w:t>
      </w:r>
      <w:r w:rsidR="006B4FB1" w:rsidRPr="000161BB">
        <w:rPr>
          <w:b w:val="0"/>
          <w:bCs w:val="0"/>
        </w:rPr>
        <w:t xml:space="preserve">to </w:t>
      </w:r>
      <w:r w:rsidR="00983ACD" w:rsidRPr="000161BB">
        <w:rPr>
          <w:b w:val="0"/>
          <w:bCs w:val="0"/>
        </w:rPr>
        <w:t>improve young people’s connectedness, which include</w:t>
      </w:r>
      <w:r w:rsidR="00A54C57" w:rsidRPr="000161BB">
        <w:rPr>
          <w:b w:val="0"/>
          <w:bCs w:val="0"/>
        </w:rPr>
        <w:t>d</w:t>
      </w:r>
      <w:r w:rsidR="006B4FB1" w:rsidRPr="000161BB">
        <w:rPr>
          <w:b w:val="0"/>
          <w:bCs w:val="0"/>
        </w:rPr>
        <w:t xml:space="preserve"> young people</w:t>
      </w:r>
      <w:r w:rsidR="00983ACD" w:rsidRPr="000161BB">
        <w:rPr>
          <w:b w:val="0"/>
          <w:bCs w:val="0"/>
        </w:rPr>
        <w:t xml:space="preserve"> both feeling part of a wider community and having relationships based on trust and empathy.</w:t>
      </w:r>
    </w:p>
    <w:tbl>
      <w:tblPr>
        <w:tblStyle w:val="IFFtable"/>
        <w:tblpPr w:leftFromText="180" w:rightFromText="180" w:vertAnchor="text" w:horzAnchor="margin" w:tblpY="27"/>
        <w:tblW w:w="0" w:type="auto"/>
        <w:tblInd w:w="0" w:type="dxa"/>
        <w:tblLook w:val="04A0" w:firstRow="1" w:lastRow="0" w:firstColumn="1" w:lastColumn="0" w:noHBand="0" w:noVBand="1"/>
      </w:tblPr>
      <w:tblGrid>
        <w:gridCol w:w="1271"/>
        <w:gridCol w:w="7970"/>
      </w:tblGrid>
      <w:tr w:rsidR="00CC6832" w14:paraId="39F98A8A" w14:textId="77777777" w:rsidTr="00ED6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743C7C2" w14:textId="77777777" w:rsidR="00CC6832" w:rsidRDefault="00CC6832" w:rsidP="00ED6069">
            <w:pPr>
              <w:pStyle w:val="Heading3"/>
              <w:spacing w:line="288" w:lineRule="auto"/>
              <w:outlineLvl w:val="2"/>
            </w:pPr>
            <w:r>
              <w:t>Numbers achieved</w:t>
            </w:r>
          </w:p>
        </w:tc>
        <w:tc>
          <w:tcPr>
            <w:tcW w:w="7970" w:type="dxa"/>
            <w:shd w:val="clear" w:color="auto" w:fill="EDF5D7" w:themeFill="accent1" w:themeFillTint="33"/>
          </w:tcPr>
          <w:p w14:paraId="5E533A89" w14:textId="4B9145CC" w:rsidR="00CC6832" w:rsidRPr="00CC6832" w:rsidRDefault="00CC6832" w:rsidP="00ED6069">
            <w:pPr>
              <w:pStyle w:val="BodyText"/>
              <w:cnfStyle w:val="100000000000" w:firstRow="1" w:lastRow="0" w:firstColumn="0" w:lastColumn="0" w:oddVBand="0" w:evenVBand="0" w:oddHBand="0" w:evenHBand="0" w:firstRowFirstColumn="0" w:firstRowLastColumn="0" w:lastRowFirstColumn="0" w:lastRowLastColumn="0"/>
              <w:rPr>
                <w:b/>
                <w:bCs/>
              </w:rPr>
            </w:pPr>
            <w:r w:rsidRPr="00CC6832">
              <w:rPr>
                <w:color w:val="auto"/>
              </w:rPr>
              <w:t>Less than half of projects that submitted monitoring forms reported th</w:t>
            </w:r>
            <w:r>
              <w:rPr>
                <w:color w:val="auto"/>
              </w:rPr>
              <w:t>at young people</w:t>
            </w:r>
            <w:r w:rsidRPr="00CC6832">
              <w:rPr>
                <w:color w:val="auto"/>
              </w:rPr>
              <w:t xml:space="preserve"> felt </w:t>
            </w:r>
            <w:r w:rsidRPr="00CC6832">
              <w:rPr>
                <w:b/>
                <w:bCs/>
                <w:color w:val="auto"/>
              </w:rPr>
              <w:t>part of a wider community</w:t>
            </w:r>
            <w:r w:rsidRPr="00CC6832">
              <w:rPr>
                <w:color w:val="auto"/>
              </w:rPr>
              <w:t xml:space="preserve"> (8/21 projects totalling 393 young people).</w:t>
            </w:r>
          </w:p>
        </w:tc>
      </w:tr>
    </w:tbl>
    <w:p w14:paraId="0358F4CB" w14:textId="77777777" w:rsidR="00CC6832" w:rsidRPr="00CC6832" w:rsidRDefault="00CC6832" w:rsidP="00CC6832">
      <w:pPr>
        <w:pStyle w:val="BodyText"/>
        <w:rPr>
          <w:b/>
          <w:bCs/>
        </w:rPr>
      </w:pPr>
    </w:p>
    <w:p w14:paraId="3733CFEC" w14:textId="229910E7" w:rsidR="00F4207F" w:rsidRDefault="00F4207F" w:rsidP="002438F1">
      <w:pPr>
        <w:pStyle w:val="BodyText"/>
      </w:pPr>
      <w:r>
        <w:t xml:space="preserve">Community is </w:t>
      </w:r>
      <w:r w:rsidR="00966331">
        <w:t xml:space="preserve">defined </w:t>
      </w:r>
      <w:r>
        <w:t>differently for projects in each strand:</w:t>
      </w:r>
    </w:p>
    <w:p w14:paraId="31528205" w14:textId="7BB5D9B9" w:rsidR="00F4207F" w:rsidRDefault="00F4207F" w:rsidP="00F4207F">
      <w:pPr>
        <w:pStyle w:val="ListBullet"/>
      </w:pPr>
      <w:r>
        <w:t>Community Spaces projects seek to engage young people with local spaces or issues. Project activities typically included activities the wider community could experience or respond to, such as art installations. For participating young people, this was a tangible and visible connection of their work to their communities.</w:t>
      </w:r>
    </w:p>
    <w:p w14:paraId="0A6E8CEA" w14:textId="569BBFDB" w:rsidR="00F4207F" w:rsidRDefault="00F4207F" w:rsidP="00F4207F">
      <w:pPr>
        <w:pStyle w:val="ListBullet"/>
      </w:pPr>
      <w:r>
        <w:t>School Transitions project focus on the school community.</w:t>
      </w:r>
      <w:r w:rsidRPr="00F4207F">
        <w:t xml:space="preserve"> </w:t>
      </w:r>
      <w:r>
        <w:t>In these projects, feeling part of the wider community included young people contributing more to classes or participating more in wider extracurricular activities, which occasionally also extended beyond school.</w:t>
      </w:r>
    </w:p>
    <w:p w14:paraId="301C0FBF" w14:textId="7BA6925C" w:rsidR="00F4207F" w:rsidRDefault="00F4207F" w:rsidP="00F4207F">
      <w:pPr>
        <w:pStyle w:val="ListBullet"/>
      </w:pPr>
      <w:r>
        <w:t xml:space="preserve">Bereavement projects focus on bereaved young people beyond the core group taking part in the social action project, and the spaces or stakeholders young people engage with. For example, schools, </w:t>
      </w:r>
      <w:r w:rsidR="00BC0777">
        <w:t>home,</w:t>
      </w:r>
      <w:r>
        <w:t xml:space="preserve"> and support services, or both, depending on the focus of the project.</w:t>
      </w:r>
    </w:p>
    <w:p w14:paraId="515C050B" w14:textId="6C930412" w:rsidR="002438F1" w:rsidRDefault="002438F1" w:rsidP="002438F1">
      <w:pPr>
        <w:pStyle w:val="BodyText"/>
      </w:pPr>
      <w:r>
        <w:t>Few projects provided evidence that young people had made progress towards having high quality relationships</w:t>
      </w:r>
      <w:r w:rsidR="00E25CC1">
        <w:t>, as expected at this early stage</w:t>
      </w:r>
      <w:r>
        <w:t xml:space="preserve">. </w:t>
      </w:r>
      <w:r w:rsidR="00F4207F">
        <w:t xml:space="preserve">Around a third (6/21 totalling 242 young people) reported that they had relationships based on trust and empathy. </w:t>
      </w:r>
      <w:r>
        <w:t xml:space="preserve">Where this was reported, projects cited the strong social cohesion that had developed among the groups taking part in </w:t>
      </w:r>
      <w:r w:rsidR="00BC0777">
        <w:t xml:space="preserve">project </w:t>
      </w:r>
      <w:r>
        <w:t>activities</w:t>
      </w:r>
      <w:r w:rsidR="00BC0777">
        <w:t>. For example, young peo</w:t>
      </w:r>
      <w:r>
        <w:t>ple</w:t>
      </w:r>
      <w:r w:rsidR="00BC0777">
        <w:t xml:space="preserve"> were</w:t>
      </w:r>
      <w:r>
        <w:t xml:space="preserve"> “looking out for one another” and showing each other empathy, which was particularly reported among School Transition and Bereavement projects. </w:t>
      </w:r>
    </w:p>
    <w:p w14:paraId="539F86F5" w14:textId="1FCD55DA" w:rsidR="00A7099F" w:rsidRDefault="006A74ED" w:rsidP="00F4207F">
      <w:pPr>
        <w:pStyle w:val="Heading3"/>
        <w:spacing w:line="288" w:lineRule="auto"/>
        <w:rPr>
          <w:b w:val="0"/>
          <w:bCs w:val="0"/>
        </w:rPr>
      </w:pPr>
      <w:r>
        <w:rPr>
          <w:noProof/>
        </w:rPr>
        <w:lastRenderedPageBreak/>
        <w:drawing>
          <wp:anchor distT="0" distB="0" distL="114300" distR="114300" simplePos="0" relativeHeight="251665408" behindDoc="1" locked="0" layoutInCell="1" allowOverlap="1" wp14:anchorId="7F47FE9E" wp14:editId="1C2886BD">
            <wp:simplePos x="0" y="0"/>
            <wp:positionH relativeFrom="column">
              <wp:posOffset>-2540</wp:posOffset>
            </wp:positionH>
            <wp:positionV relativeFrom="paragraph">
              <wp:posOffset>27940</wp:posOffset>
            </wp:positionV>
            <wp:extent cx="600075" cy="600075"/>
            <wp:effectExtent l="0" t="0" r="9525" b="9525"/>
            <wp:wrapTight wrapText="bothSides">
              <wp:wrapPolygon edited="0">
                <wp:start x="0" y="0"/>
                <wp:lineTo x="0" y="21257"/>
                <wp:lineTo x="21257" y="21257"/>
                <wp:lineTo x="212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F1" w:rsidRPr="008B12B1">
        <w:t>Skills</w:t>
      </w:r>
      <w:r w:rsidR="004B5582">
        <w:t xml:space="preserve">: </w:t>
      </w:r>
      <w:r w:rsidR="00A54C57" w:rsidRPr="000161BB">
        <w:rPr>
          <w:b w:val="0"/>
          <w:bCs w:val="0"/>
        </w:rPr>
        <w:t xml:space="preserve">By engaging young people in diverse youth social action projects, the Co-op’s #iwill </w:t>
      </w:r>
      <w:r w:rsidR="00E23E62">
        <w:rPr>
          <w:b w:val="0"/>
          <w:bCs w:val="0"/>
        </w:rPr>
        <w:t>Fund</w:t>
      </w:r>
      <w:r w:rsidR="00A54C57" w:rsidRPr="000161BB">
        <w:rPr>
          <w:b w:val="0"/>
          <w:bCs w:val="0"/>
        </w:rPr>
        <w:t xml:space="preserve"> </w:t>
      </w:r>
      <w:r w:rsidR="00411A9C" w:rsidRPr="000161BB">
        <w:rPr>
          <w:b w:val="0"/>
          <w:bCs w:val="0"/>
        </w:rPr>
        <w:t xml:space="preserve">sought to build </w:t>
      </w:r>
      <w:r w:rsidR="00DA6A68">
        <w:rPr>
          <w:b w:val="0"/>
          <w:bCs w:val="0"/>
        </w:rPr>
        <w:t>young peoples</w:t>
      </w:r>
      <w:r w:rsidR="00411A9C" w:rsidRPr="000161BB">
        <w:rPr>
          <w:b w:val="0"/>
          <w:bCs w:val="0"/>
        </w:rPr>
        <w:t>’ skills</w:t>
      </w:r>
      <w:r w:rsidR="000228B7" w:rsidRPr="000161BB">
        <w:rPr>
          <w:b w:val="0"/>
          <w:bCs w:val="0"/>
        </w:rPr>
        <w:t xml:space="preserve"> in </w:t>
      </w:r>
      <w:r w:rsidR="00A7099F" w:rsidRPr="000161BB">
        <w:rPr>
          <w:b w:val="0"/>
          <w:bCs w:val="0"/>
        </w:rPr>
        <w:t>communication, teamwork and planning</w:t>
      </w:r>
      <w:r w:rsidR="000228B7" w:rsidRPr="000161BB">
        <w:rPr>
          <w:b w:val="0"/>
          <w:bCs w:val="0"/>
        </w:rPr>
        <w:t>,</w:t>
      </w:r>
      <w:r w:rsidR="00A7099F" w:rsidRPr="000161BB">
        <w:rPr>
          <w:b w:val="0"/>
          <w:bCs w:val="0"/>
        </w:rPr>
        <w:t xml:space="preserve"> and peer support skills </w:t>
      </w:r>
      <w:r w:rsidR="000228B7" w:rsidRPr="000161BB">
        <w:rPr>
          <w:b w:val="0"/>
          <w:bCs w:val="0"/>
        </w:rPr>
        <w:t xml:space="preserve">including </w:t>
      </w:r>
      <w:r w:rsidR="00A7099F" w:rsidRPr="000161BB">
        <w:rPr>
          <w:b w:val="0"/>
          <w:bCs w:val="0"/>
        </w:rPr>
        <w:t>listening, empathy and leadership</w:t>
      </w:r>
      <w:r w:rsidR="000228B7" w:rsidRPr="000161BB">
        <w:rPr>
          <w:b w:val="0"/>
          <w:bCs w:val="0"/>
        </w:rPr>
        <w:t xml:space="preserve">. </w:t>
      </w:r>
      <w:r w:rsidR="00A7099F" w:rsidRPr="000161BB">
        <w:rPr>
          <w:b w:val="0"/>
          <w:bCs w:val="0"/>
        </w:rPr>
        <w:t>Evidence of both skills</w:t>
      </w:r>
      <w:r w:rsidR="000228B7" w:rsidRPr="000161BB">
        <w:rPr>
          <w:b w:val="0"/>
          <w:bCs w:val="0"/>
        </w:rPr>
        <w:t>ets</w:t>
      </w:r>
      <w:r w:rsidR="00A7099F" w:rsidRPr="000161BB">
        <w:rPr>
          <w:b w:val="0"/>
          <w:bCs w:val="0"/>
        </w:rPr>
        <w:t xml:space="preserve"> </w:t>
      </w:r>
      <w:r w:rsidR="00532CD4" w:rsidRPr="000161BB">
        <w:rPr>
          <w:b w:val="0"/>
          <w:bCs w:val="0"/>
        </w:rPr>
        <w:t xml:space="preserve">was expected </w:t>
      </w:r>
      <w:r w:rsidR="00A7099F" w:rsidRPr="000161BB">
        <w:rPr>
          <w:b w:val="0"/>
          <w:bCs w:val="0"/>
        </w:rPr>
        <w:t xml:space="preserve">by </w:t>
      </w:r>
      <w:r w:rsidR="000228B7" w:rsidRPr="000161BB">
        <w:rPr>
          <w:b w:val="0"/>
          <w:bCs w:val="0"/>
        </w:rPr>
        <w:t>six</w:t>
      </w:r>
      <w:r w:rsidR="00A7099F" w:rsidRPr="000161BB">
        <w:rPr>
          <w:b w:val="0"/>
          <w:bCs w:val="0"/>
        </w:rPr>
        <w:t xml:space="preserve"> months into </w:t>
      </w:r>
      <w:r w:rsidR="00BC0777">
        <w:rPr>
          <w:b w:val="0"/>
          <w:bCs w:val="0"/>
        </w:rPr>
        <w:t>project delivery.</w:t>
      </w:r>
    </w:p>
    <w:tbl>
      <w:tblPr>
        <w:tblStyle w:val="IFFtable"/>
        <w:tblpPr w:leftFromText="180" w:rightFromText="180" w:vertAnchor="text" w:horzAnchor="margin" w:tblpY="27"/>
        <w:tblW w:w="0" w:type="auto"/>
        <w:tblInd w:w="0" w:type="dxa"/>
        <w:tblLook w:val="04A0" w:firstRow="1" w:lastRow="0" w:firstColumn="1" w:lastColumn="0" w:noHBand="0" w:noVBand="1"/>
      </w:tblPr>
      <w:tblGrid>
        <w:gridCol w:w="1271"/>
        <w:gridCol w:w="7970"/>
      </w:tblGrid>
      <w:tr w:rsidR="00CC6832" w14:paraId="04FEA7CA" w14:textId="77777777" w:rsidTr="00ED6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4181DEE" w14:textId="77777777" w:rsidR="00CC6832" w:rsidRDefault="00CC6832" w:rsidP="00ED6069">
            <w:pPr>
              <w:pStyle w:val="Heading3"/>
              <w:spacing w:line="288" w:lineRule="auto"/>
              <w:outlineLvl w:val="2"/>
            </w:pPr>
            <w:r>
              <w:t>Numbers achieved</w:t>
            </w:r>
          </w:p>
        </w:tc>
        <w:tc>
          <w:tcPr>
            <w:tcW w:w="7970" w:type="dxa"/>
            <w:shd w:val="clear" w:color="auto" w:fill="EDF5D7" w:themeFill="accent1" w:themeFillTint="33"/>
          </w:tcPr>
          <w:p w14:paraId="1C410237" w14:textId="07912324" w:rsidR="00CC6832" w:rsidRDefault="00CC6832" w:rsidP="00ED6069">
            <w:pPr>
              <w:pStyle w:val="BodyText"/>
              <w:cnfStyle w:val="100000000000" w:firstRow="1" w:lastRow="0" w:firstColumn="0" w:lastColumn="0" w:oddVBand="0" w:evenVBand="0" w:oddHBand="0" w:evenHBand="0" w:firstRowFirstColumn="0" w:firstRowLastColumn="0" w:lastRowFirstColumn="0" w:lastRowLastColumn="0"/>
            </w:pPr>
            <w:r w:rsidRPr="00CC6832">
              <w:rPr>
                <w:b/>
                <w:bCs/>
                <w:color w:val="auto"/>
              </w:rPr>
              <w:t>Most young people were reported to have developed communication, teamwork and planning skills,</w:t>
            </w:r>
            <w:r w:rsidRPr="00CC6832">
              <w:rPr>
                <w:color w:val="auto"/>
              </w:rPr>
              <w:t xml:space="preserve"> with 1,349 young people and 17/21 projects reported to have achieved this.</w:t>
            </w:r>
          </w:p>
        </w:tc>
      </w:tr>
    </w:tbl>
    <w:p w14:paraId="2363509B" w14:textId="77777777" w:rsidR="00CC6832" w:rsidRPr="00CC6832" w:rsidRDefault="00CC6832" w:rsidP="00CC6832">
      <w:pPr>
        <w:pStyle w:val="BodyText"/>
      </w:pPr>
    </w:p>
    <w:p w14:paraId="05A7F21B" w14:textId="602F4818" w:rsidR="00081BBD" w:rsidRDefault="00081BBD" w:rsidP="00DA6A68">
      <w:pPr>
        <w:pStyle w:val="BodyText"/>
      </w:pPr>
      <w:r>
        <w:t>Project staff shared examples of young people who initially were quiet and withdrawn at the project start, but over a few sessions began to share their views more, whether this was verbally, through the chat function of online meetings, or by email after the session.</w:t>
      </w:r>
      <w:r w:rsidR="009A47CC">
        <w:t xml:space="preserve"> Terms of reference agreed between young people at the start of the project, and reinforced across the project, that included principles of respect and openness appears to be a useful mechanism so support communication.</w:t>
      </w:r>
    </w:p>
    <w:p w14:paraId="74EF3600" w14:textId="5D979473" w:rsidR="00DA6A68" w:rsidRDefault="00DA6A68" w:rsidP="00DA6A68">
      <w:pPr>
        <w:pStyle w:val="BodyText"/>
      </w:pPr>
      <w:r>
        <w:t xml:space="preserve">Projects </w:t>
      </w:r>
      <w:r w:rsidR="000442D2">
        <w:t>that involved group-based work to collaborate on developing materials, like website content, a community newspaper and social media posts, and whose delivery ethos involved minimal steer and input from project staff, provided the setting for young people to take personal responsibility for materials, and work together to coordinate how to achieve their goal. Young people</w:t>
      </w:r>
      <w:r w:rsidR="009A47CC">
        <w:t xml:space="preserve"> interviewed</w:t>
      </w:r>
      <w:r w:rsidR="000442D2">
        <w:t xml:space="preserve"> </w:t>
      </w:r>
      <w:r w:rsidR="009A47CC">
        <w:t>from among Community Spaces and Bereavement projects</w:t>
      </w:r>
      <w:r w:rsidR="000442D2">
        <w:t xml:space="preserve"> felt project staff who gave the structure to work within, and reassurance they were available if needed, but otherwise kept quiet during brainstorming sessions </w:t>
      </w:r>
      <w:r w:rsidR="00081BBD">
        <w:t xml:space="preserve">was encouraging for the young people to try different </w:t>
      </w:r>
      <w:r w:rsidR="009A47CC">
        <w:t xml:space="preserve">planning </w:t>
      </w:r>
      <w:r w:rsidR="00081BBD">
        <w:t xml:space="preserve">approaches. </w:t>
      </w:r>
    </w:p>
    <w:p w14:paraId="73635D60" w14:textId="26EC50F8" w:rsidR="00D01497" w:rsidRDefault="002438F1" w:rsidP="002438F1">
      <w:pPr>
        <w:pStyle w:val="BodyText"/>
      </w:pPr>
      <w:r>
        <w:t xml:space="preserve">The second </w:t>
      </w:r>
      <w:r w:rsidR="00A0584F">
        <w:t>skills outcome</w:t>
      </w:r>
      <w:r>
        <w:t xml:space="preserve">, young people gaining peer support skills, had not been as clearly evidenced so far, with monitoring data suggesting </w:t>
      </w:r>
      <w:r w:rsidR="005325F6">
        <w:t>1</w:t>
      </w:r>
      <w:r>
        <w:t xml:space="preserve">11 young people achieved this </w:t>
      </w:r>
      <w:r w:rsidR="005325F6">
        <w:t>among</w:t>
      </w:r>
      <w:r>
        <w:t xml:space="preserve"> 4/</w:t>
      </w:r>
      <w:r w:rsidR="009F3185">
        <w:t>21</w:t>
      </w:r>
      <w:r>
        <w:t xml:space="preserve"> projects. It is worth noting that, due to</w:t>
      </w:r>
      <w:r w:rsidR="005325F6">
        <w:t xml:space="preserve"> project start</w:t>
      </w:r>
      <w:r>
        <w:t xml:space="preserve"> delays, none of the Bereavement projects had started their peer-support elements</w:t>
      </w:r>
      <w:r w:rsidR="005325F6">
        <w:t xml:space="preserve"> so we may see progress against this outcome in the Year 1 summary.</w:t>
      </w:r>
    </w:p>
    <w:p w14:paraId="61C33DF4" w14:textId="67A8CB91" w:rsidR="00D01497" w:rsidRDefault="00081BBD" w:rsidP="00132291">
      <w:pPr>
        <w:pStyle w:val="BodyText"/>
      </w:pPr>
      <w:r>
        <w:t>For projects who had begun peer support delivery, evidence of listening, empathy and leadership was cited when the project involved t</w:t>
      </w:r>
      <w:r w:rsidR="00774F70">
        <w:t xml:space="preserve">raining young people on what peer support is, why it is valuable and delivering activities that enabled young people to practice the skills they would need to deliver their youth social action project to their school or other schools. For example, young people each leading a part of the youth social project </w:t>
      </w:r>
      <w:r w:rsidR="009A47CC">
        <w:t>activity and</w:t>
      </w:r>
      <w:r>
        <w:t xml:space="preserve"> </w:t>
      </w:r>
      <w:r w:rsidR="00774F70">
        <w:t xml:space="preserve">working in small groups and feeding back to the larger group on behalf of their peers. </w:t>
      </w:r>
      <w:r w:rsidR="00DA6A68">
        <w:t xml:space="preserve">Young people interviewed shared experiences of how </w:t>
      </w:r>
      <w:r>
        <w:t>o</w:t>
      </w:r>
      <w:r w:rsidR="00DA6A68">
        <w:t xml:space="preserve">wnership became easier with time, and as their confidence grew to follow through on tasks. </w:t>
      </w:r>
    </w:p>
    <w:p w14:paraId="710735ED" w14:textId="45A564A2" w:rsidR="00D01497" w:rsidRDefault="009A47CC" w:rsidP="00132291">
      <w:pPr>
        <w:pStyle w:val="BodyText"/>
      </w:pPr>
      <w:r>
        <w:t xml:space="preserve">While most </w:t>
      </w:r>
      <w:r w:rsidR="00D01497">
        <w:t xml:space="preserve">Bereavement </w:t>
      </w:r>
      <w:r>
        <w:t>projects had yet to start social action activities, y</w:t>
      </w:r>
      <w:r w:rsidR="00D01497">
        <w:t xml:space="preserve">oung people interviewed felt </w:t>
      </w:r>
      <w:r w:rsidR="00774F70">
        <w:t>better able to listen to others</w:t>
      </w:r>
      <w:r w:rsidR="00DA6A68">
        <w:t>’</w:t>
      </w:r>
      <w:r w:rsidR="00774F70">
        <w:t xml:space="preserve"> experiences and </w:t>
      </w:r>
      <w:r>
        <w:t xml:space="preserve">were becoming more open </w:t>
      </w:r>
      <w:r w:rsidR="00774F70">
        <w:t xml:space="preserve">to discuss needs of bereaved young people and ideas for better supporting them, based on their own experiences. </w:t>
      </w:r>
    </w:p>
    <w:p w14:paraId="6F15D781" w14:textId="54A7633F" w:rsidR="00882128" w:rsidRPr="006A74ED" w:rsidRDefault="00DA6A68" w:rsidP="00132291">
      <w:pPr>
        <w:pStyle w:val="BodyText"/>
      </w:pPr>
      <w:r>
        <w:t xml:space="preserve">Additional skills, beyond the focus of the #iwill </w:t>
      </w:r>
      <w:r w:rsidR="00E23E62">
        <w:t>Fund</w:t>
      </w:r>
      <w:r>
        <w:t xml:space="preserve">, were reported </w:t>
      </w:r>
      <w:r w:rsidR="002438F1">
        <w:t xml:space="preserve">from participation in group activities. </w:t>
      </w:r>
      <w:r>
        <w:t>These skills included d</w:t>
      </w:r>
      <w:r w:rsidR="002438F1">
        <w:t>igital skills, from the experience of collaborating online to organise youth social action; creative</w:t>
      </w:r>
      <w:r>
        <w:t xml:space="preserve"> and </w:t>
      </w:r>
      <w:r w:rsidR="002438F1">
        <w:t xml:space="preserve">media skills, from producing youth social action content </w:t>
      </w:r>
      <w:r>
        <w:t>like</w:t>
      </w:r>
      <w:r w:rsidR="002438F1">
        <w:t xml:space="preserve"> videos, podcasts and social media posts; </w:t>
      </w:r>
      <w:r w:rsidR="00AF7981">
        <w:t xml:space="preserve">and </w:t>
      </w:r>
      <w:r w:rsidR="002438F1">
        <w:t xml:space="preserve">professional and organisation skills from working to </w:t>
      </w:r>
      <w:r w:rsidR="002438F1" w:rsidRPr="006A74ED">
        <w:t xml:space="preserve">deadlines as a team to produce project deliverables. </w:t>
      </w:r>
    </w:p>
    <w:p w14:paraId="61EAD2AF" w14:textId="78CE16C9" w:rsidR="002666B6" w:rsidRDefault="006A74ED" w:rsidP="000161BB">
      <w:pPr>
        <w:pStyle w:val="Heading3"/>
        <w:rPr>
          <w:b w:val="0"/>
          <w:bCs w:val="0"/>
        </w:rPr>
      </w:pPr>
      <w:r w:rsidRPr="006A74ED">
        <w:rPr>
          <w:noProof/>
        </w:rPr>
        <w:drawing>
          <wp:anchor distT="0" distB="0" distL="114300" distR="114300" simplePos="0" relativeHeight="251669504" behindDoc="1" locked="0" layoutInCell="1" allowOverlap="1" wp14:anchorId="41DB6975" wp14:editId="36065A85">
            <wp:simplePos x="0" y="0"/>
            <wp:positionH relativeFrom="column">
              <wp:posOffset>-2540</wp:posOffset>
            </wp:positionH>
            <wp:positionV relativeFrom="paragraph">
              <wp:posOffset>6985</wp:posOffset>
            </wp:positionV>
            <wp:extent cx="593090" cy="593090"/>
            <wp:effectExtent l="0" t="0" r="0" b="0"/>
            <wp:wrapTight wrapText="bothSides">
              <wp:wrapPolygon edited="0">
                <wp:start x="0" y="0"/>
                <wp:lineTo x="0" y="20814"/>
                <wp:lineTo x="20814" y="20814"/>
                <wp:lineTo x="208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09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9EF" w:rsidRPr="006A74ED">
        <w:t>Influence</w:t>
      </w:r>
      <w:r w:rsidR="004B5582" w:rsidRPr="006A74ED">
        <w:t xml:space="preserve">: </w:t>
      </w:r>
      <w:r w:rsidRPr="006A74ED">
        <w:rPr>
          <w:b w:val="0"/>
          <w:bCs w:val="0"/>
        </w:rPr>
        <w:t>An outcome expected to emerge by the end of project delivery (</w:t>
      </w:r>
      <w:r w:rsidR="009A47CC">
        <w:rPr>
          <w:b w:val="0"/>
          <w:bCs w:val="0"/>
        </w:rPr>
        <w:t>two</w:t>
      </w:r>
      <w:r w:rsidRPr="006A74ED">
        <w:rPr>
          <w:b w:val="0"/>
          <w:bCs w:val="0"/>
        </w:rPr>
        <w:t xml:space="preserve"> years) was for y</w:t>
      </w:r>
      <w:r w:rsidR="002666B6" w:rsidRPr="006A74ED">
        <w:rPr>
          <w:b w:val="0"/>
          <w:bCs w:val="0"/>
        </w:rPr>
        <w:t>oung people to feel that they had influenced support, services, or spaces in their community.</w:t>
      </w:r>
    </w:p>
    <w:p w14:paraId="154D1E46" w14:textId="77777777" w:rsidR="00CC6832" w:rsidRPr="00CC6832" w:rsidRDefault="00CC6832" w:rsidP="00CC6832">
      <w:pPr>
        <w:pStyle w:val="BodyText"/>
      </w:pPr>
    </w:p>
    <w:tbl>
      <w:tblPr>
        <w:tblStyle w:val="IFFtable"/>
        <w:tblpPr w:leftFromText="180" w:rightFromText="180" w:vertAnchor="text" w:horzAnchor="margin" w:tblpY="27"/>
        <w:tblW w:w="0" w:type="auto"/>
        <w:tblInd w:w="0" w:type="dxa"/>
        <w:tblLook w:val="04A0" w:firstRow="1" w:lastRow="0" w:firstColumn="1" w:lastColumn="0" w:noHBand="0" w:noVBand="1"/>
      </w:tblPr>
      <w:tblGrid>
        <w:gridCol w:w="1271"/>
        <w:gridCol w:w="7970"/>
      </w:tblGrid>
      <w:tr w:rsidR="00CC6832" w14:paraId="65FADFB2" w14:textId="77777777" w:rsidTr="00ED6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FC9FDA6" w14:textId="77777777" w:rsidR="00CC6832" w:rsidRDefault="00CC6832" w:rsidP="00ED6069">
            <w:pPr>
              <w:pStyle w:val="Heading3"/>
              <w:spacing w:line="288" w:lineRule="auto"/>
              <w:outlineLvl w:val="2"/>
            </w:pPr>
            <w:r>
              <w:lastRenderedPageBreak/>
              <w:t>Numbers achieved</w:t>
            </w:r>
          </w:p>
        </w:tc>
        <w:tc>
          <w:tcPr>
            <w:tcW w:w="7970" w:type="dxa"/>
            <w:shd w:val="clear" w:color="auto" w:fill="EDF5D7" w:themeFill="accent1" w:themeFillTint="33"/>
          </w:tcPr>
          <w:p w14:paraId="231489E5" w14:textId="4735DF8E" w:rsidR="00CC6832" w:rsidRDefault="00CC6832" w:rsidP="00ED6069">
            <w:pPr>
              <w:pStyle w:val="BodyText"/>
              <w:cnfStyle w:val="100000000000" w:firstRow="1" w:lastRow="0" w:firstColumn="0" w:lastColumn="0" w:oddVBand="0" w:evenVBand="0" w:oddHBand="0" w:evenHBand="0" w:firstRowFirstColumn="0" w:firstRowLastColumn="0" w:lastRowFirstColumn="0" w:lastRowLastColumn="0"/>
            </w:pPr>
            <w:r w:rsidRPr="00CC6832">
              <w:rPr>
                <w:b/>
                <w:bCs/>
                <w:color w:val="auto"/>
              </w:rPr>
              <w:t>Less than half of projects</w:t>
            </w:r>
            <w:r w:rsidRPr="00CC6832">
              <w:rPr>
                <w:color w:val="auto"/>
              </w:rPr>
              <w:t xml:space="preserve"> (9/21 totalling 530 young people) reported progress towards this outcome on the monitoring form.</w:t>
            </w:r>
          </w:p>
        </w:tc>
      </w:tr>
    </w:tbl>
    <w:p w14:paraId="15816345" w14:textId="77777777" w:rsidR="00CC6832" w:rsidRPr="00CC6832" w:rsidRDefault="00CC6832" w:rsidP="00CC6832">
      <w:pPr>
        <w:pStyle w:val="BodyText"/>
      </w:pPr>
    </w:p>
    <w:p w14:paraId="7F835343" w14:textId="70573DF7" w:rsidR="00C85776" w:rsidRPr="0056746F" w:rsidRDefault="001E1E5E" w:rsidP="002B73D7">
      <w:pPr>
        <w:pStyle w:val="BodyText"/>
      </w:pPr>
      <w:r>
        <w:t>However, from interviews</w:t>
      </w:r>
      <w:r w:rsidR="009F3185">
        <w:t xml:space="preserve"> t</w:t>
      </w:r>
      <w:r w:rsidR="0084343C">
        <w:t>here was evidence that</w:t>
      </w:r>
      <w:r>
        <w:t xml:space="preserve"> </w:t>
      </w:r>
      <w:r w:rsidR="0084343C">
        <w:t>projects in</w:t>
      </w:r>
      <w:r w:rsidR="00471114">
        <w:t xml:space="preserve"> the</w:t>
      </w:r>
      <w:r w:rsidR="0084343C">
        <w:t xml:space="preserve"> </w:t>
      </w:r>
      <w:r w:rsidR="007D20F1">
        <w:t>Community Spaces</w:t>
      </w:r>
      <w:r w:rsidR="0084343C">
        <w:t xml:space="preserve"> and </w:t>
      </w:r>
      <w:r w:rsidR="007D20F1">
        <w:t>School Transition</w:t>
      </w:r>
      <w:r w:rsidR="0084343C">
        <w:t xml:space="preserve"> </w:t>
      </w:r>
      <w:r w:rsidR="00471114">
        <w:t xml:space="preserve">strands </w:t>
      </w:r>
      <w:r w:rsidR="0084343C">
        <w:t xml:space="preserve">had </w:t>
      </w:r>
      <w:r w:rsidR="00A02C13">
        <w:t>made progress towards</w:t>
      </w:r>
      <w:r w:rsidR="0084343C">
        <w:t xml:space="preserve"> this outcome</w:t>
      </w:r>
      <w:r w:rsidR="006A74ED">
        <w:t xml:space="preserve">. </w:t>
      </w:r>
      <w:r w:rsidR="007D20F1">
        <w:t>Community Spaces</w:t>
      </w:r>
      <w:r w:rsidR="00C85776">
        <w:t xml:space="preserve"> projects tended to get </w:t>
      </w:r>
      <w:r w:rsidR="00DB5D59">
        <w:t>young people</w:t>
      </w:r>
      <w:r w:rsidR="00C85776">
        <w:t xml:space="preserve"> involved in </w:t>
      </w:r>
      <w:r w:rsidR="00694CE2">
        <w:t xml:space="preserve">local </w:t>
      </w:r>
      <w:r w:rsidR="00C85776">
        <w:t xml:space="preserve">services or spaces in some way, and therefore reported that </w:t>
      </w:r>
      <w:r w:rsidR="00DB5D59">
        <w:t>young people</w:t>
      </w:r>
      <w:r w:rsidR="00C85776">
        <w:t xml:space="preserve"> had progressed in this by nature of the activities they were doing. For example, installing artwork in a local space; engaging </w:t>
      </w:r>
      <w:r w:rsidR="007B54E4">
        <w:t xml:space="preserve">with </w:t>
      </w:r>
      <w:r w:rsidR="00C85776">
        <w:t xml:space="preserve">local services </w:t>
      </w:r>
      <w:r w:rsidR="007B54E4">
        <w:t>such as transportation via digital media; reaching out to venues and businesses in the local area to support projects.</w:t>
      </w:r>
      <w:r w:rsidR="002B73D7">
        <w:t xml:space="preserve"> A project produced and distributed a newspaper around LGBTQ young people’s experiences in lockdown, and received positive feedback from local communities, including raising awareness of issues with gendered toilets at a local school. </w:t>
      </w:r>
      <w:r w:rsidR="007D20F1">
        <w:t>School Transition</w:t>
      </w:r>
      <w:r w:rsidR="007B54E4">
        <w:t xml:space="preserve"> projects gave examples of </w:t>
      </w:r>
      <w:r w:rsidR="00DB5D59">
        <w:t>young people</w:t>
      </w:r>
      <w:r w:rsidR="007B54E4">
        <w:t xml:space="preserve"> feeling more able to speak up about issues they faced in </w:t>
      </w:r>
      <w:r w:rsidR="00155BCA">
        <w:t>school and</w:t>
      </w:r>
      <w:r w:rsidR="00155E63">
        <w:t xml:space="preserve"> feeling able to communicate their ideas more effectively</w:t>
      </w:r>
      <w:r w:rsidR="0050569D">
        <w:t xml:space="preserve">. </w:t>
      </w:r>
    </w:p>
    <w:p w14:paraId="4E8D9994" w14:textId="50D54365" w:rsidR="001C09EF" w:rsidRDefault="000B7F34" w:rsidP="001C09EF">
      <w:pPr>
        <w:pStyle w:val="Heading2"/>
      </w:pPr>
      <w:r>
        <w:t>How are projects progressing with achieving c</w:t>
      </w:r>
      <w:r w:rsidR="001C09EF">
        <w:t>ommunity outcomes</w:t>
      </w:r>
      <w:r>
        <w:t>?</w:t>
      </w:r>
    </w:p>
    <w:p w14:paraId="6ED80E58" w14:textId="4A020E02" w:rsidR="000331C7" w:rsidRDefault="002B73D7" w:rsidP="002B73D7">
      <w:pPr>
        <w:pStyle w:val="ListBullet"/>
        <w:numPr>
          <w:ilvl w:val="0"/>
          <w:numId w:val="0"/>
        </w:numPr>
      </w:pPr>
      <w:r>
        <w:t xml:space="preserve">While it is still early in project delivery, there is already </w:t>
      </w:r>
      <w:r w:rsidR="000331C7">
        <w:t xml:space="preserve">emerging evidence </w:t>
      </w:r>
      <w:r>
        <w:t xml:space="preserve">of community outcomes. </w:t>
      </w:r>
      <w:r w:rsidR="00801B6A">
        <w:t xml:space="preserve">Over half of projects (14/24) </w:t>
      </w:r>
      <w:r w:rsidR="00772538">
        <w:t>reported evidence that support, services or spaces were better informed and accessed by young people.</w:t>
      </w:r>
      <w:r w:rsidR="00850825">
        <w:t xml:space="preserve"> </w:t>
      </w:r>
      <w:r w:rsidR="000331C7">
        <w:t>Early evidence of support, services or spaces being better informed and accessed by young people</w:t>
      </w:r>
      <w:r w:rsidR="00335185">
        <w:t xml:space="preserve"> included projects signposting participating young people to available community services, like summer camps and gyms, and discussing issues that impact their communities, like a School Transitions project that debated the Sustainable Development Goals as part of their project activities. </w:t>
      </w:r>
    </w:p>
    <w:p w14:paraId="7D60283F" w14:textId="4D95BE83" w:rsidR="000331C7" w:rsidRDefault="00850825" w:rsidP="00A02C13">
      <w:pPr>
        <w:pStyle w:val="BodyText"/>
      </w:pPr>
      <w:r>
        <w:t xml:space="preserve">Around a third of projects (7/24) reported evidence that the community’s perceptions of young people were more positive. </w:t>
      </w:r>
      <w:r w:rsidR="000331C7">
        <w:t xml:space="preserve">Early evidence of more positive community member </w:t>
      </w:r>
      <w:r w:rsidR="00335185">
        <w:t>perceptions</w:t>
      </w:r>
      <w:r w:rsidR="000331C7">
        <w:t xml:space="preserve"> of</w:t>
      </w:r>
      <w:r w:rsidR="00335185">
        <w:t xml:space="preserve"> </w:t>
      </w:r>
      <w:r w:rsidR="000331C7">
        <w:t>young people</w:t>
      </w:r>
      <w:r w:rsidR="00335185">
        <w:t xml:space="preserve"> included </w:t>
      </w:r>
      <w:r w:rsidR="002B73D7">
        <w:t>community member emails praising a newspaper the young people wrote around LGBTQ young people’s experiences in lockdown</w:t>
      </w:r>
      <w:r w:rsidR="00335185">
        <w:t xml:space="preserve"> newspaper </w:t>
      </w:r>
      <w:r w:rsidR="002B73D7">
        <w:t xml:space="preserve">they then </w:t>
      </w:r>
      <w:r w:rsidR="00335185">
        <w:t>distributed to community businesses, and a project that facilitated young people to discuss the project’s focus with local cabinet members.</w:t>
      </w:r>
      <w:r w:rsidRPr="00850825">
        <w:t xml:space="preserve"> </w:t>
      </w:r>
    </w:p>
    <w:p w14:paraId="0169E4EB" w14:textId="4CF3D204" w:rsidR="00A25D5D" w:rsidRDefault="00850825" w:rsidP="005A600F">
      <w:pPr>
        <w:pStyle w:val="BodyText"/>
      </w:pPr>
      <w:r>
        <w:t xml:space="preserve">Just under half of projects (11/24) reported that they had plans to deliver more youth social action projects which represented 1,082 young people. </w:t>
      </w:r>
    </w:p>
    <w:p w14:paraId="0642846C" w14:textId="77777777" w:rsidR="00A25D5D" w:rsidRPr="007D60E3" w:rsidRDefault="00A25D5D" w:rsidP="00A25D5D">
      <w:pPr>
        <w:pStyle w:val="Heading1"/>
      </w:pPr>
      <w:r>
        <w:t>Project delivery experiences</w:t>
      </w:r>
    </w:p>
    <w:p w14:paraId="53D275D1" w14:textId="6A7A0D6F" w:rsidR="002B73D7" w:rsidRPr="00AC7E6E" w:rsidRDefault="002B73D7" w:rsidP="002B73D7">
      <w:pPr>
        <w:pStyle w:val="BodyText"/>
        <w:rPr>
          <w:rFonts w:cs="Arial"/>
        </w:rPr>
      </w:pPr>
      <w:r>
        <w:rPr>
          <w:rFonts w:cs="Arial"/>
        </w:rPr>
        <w:t>T</w:t>
      </w:r>
      <w:r w:rsidRPr="00AC7E6E">
        <w:rPr>
          <w:rFonts w:cs="Arial"/>
        </w:rPr>
        <w:t>his section discusses what projects have learn</w:t>
      </w:r>
      <w:r w:rsidR="00F40040">
        <w:rPr>
          <w:rFonts w:cs="Arial"/>
        </w:rPr>
        <w:t>ed</w:t>
      </w:r>
      <w:r w:rsidRPr="00AC7E6E">
        <w:rPr>
          <w:rFonts w:cs="Arial"/>
        </w:rPr>
        <w:t xml:space="preserve"> from their experiences so far, what challenges they have experienced and what approaches they have taken that have been particularly successful. Findings are from open text responses in monitoring forms from 24 projects, </w:t>
      </w:r>
      <w:r w:rsidR="00776DFC">
        <w:rPr>
          <w:rFonts w:cs="Arial"/>
        </w:rPr>
        <w:t xml:space="preserve">and </w:t>
      </w:r>
      <w:r w:rsidRPr="00AC7E6E">
        <w:rPr>
          <w:rFonts w:cs="Arial"/>
        </w:rPr>
        <w:t xml:space="preserve">qualitative interviews and case studies. </w:t>
      </w:r>
    </w:p>
    <w:p w14:paraId="4BFEAA4B" w14:textId="77777777" w:rsidR="002B73D7" w:rsidRPr="005A2F04" w:rsidRDefault="002B73D7" w:rsidP="00776DFC">
      <w:pPr>
        <w:pStyle w:val="Heading2"/>
      </w:pPr>
      <w:r w:rsidRPr="005A2F04">
        <w:t>Setting up the project</w:t>
      </w:r>
    </w:p>
    <w:p w14:paraId="03D7E826" w14:textId="199FB781" w:rsidR="002B73D7" w:rsidRPr="00AC7E6E" w:rsidRDefault="002B73D7" w:rsidP="002B73D7">
      <w:pPr>
        <w:pStyle w:val="BodyText"/>
        <w:rPr>
          <w:rFonts w:cs="Arial"/>
        </w:rPr>
      </w:pPr>
      <w:r w:rsidRPr="00AC7E6E">
        <w:rPr>
          <w:rFonts w:cs="Arial"/>
        </w:rPr>
        <w:t>Project set-up typically involved getting the resources and relationships in place to deliver the project, including</w:t>
      </w:r>
      <w:r>
        <w:rPr>
          <w:rFonts w:cs="Arial"/>
        </w:rPr>
        <w:t xml:space="preserve"> </w:t>
      </w:r>
      <w:r w:rsidRPr="00AC7E6E">
        <w:rPr>
          <w:rFonts w:cs="Arial"/>
        </w:rPr>
        <w:t>developing training materials,</w:t>
      </w:r>
      <w:r>
        <w:rPr>
          <w:rFonts w:cs="Arial"/>
        </w:rPr>
        <w:t xml:space="preserve"> </w:t>
      </w:r>
      <w:r w:rsidRPr="00AC7E6E">
        <w:rPr>
          <w:rFonts w:cs="Arial"/>
        </w:rPr>
        <w:t>recruiting and training staff, identifying spaces to run their activities</w:t>
      </w:r>
      <w:r>
        <w:rPr>
          <w:rFonts w:cs="Arial"/>
        </w:rPr>
        <w:t xml:space="preserve"> and </w:t>
      </w:r>
      <w:r w:rsidRPr="00AC7E6E">
        <w:rPr>
          <w:rFonts w:cs="Arial"/>
        </w:rPr>
        <w:t>engaging partner organisations</w:t>
      </w:r>
      <w:r w:rsidR="00776DFC">
        <w:rPr>
          <w:rFonts w:cs="Arial"/>
        </w:rPr>
        <w:t xml:space="preserve"> like </w:t>
      </w:r>
      <w:r w:rsidRPr="00AC7E6E">
        <w:rPr>
          <w:rFonts w:cs="Arial"/>
        </w:rPr>
        <w:t>schools</w:t>
      </w:r>
      <w:r w:rsidR="00776DFC">
        <w:rPr>
          <w:rFonts w:cs="Arial"/>
        </w:rPr>
        <w:t>, businesses</w:t>
      </w:r>
      <w:r w:rsidRPr="00AC7E6E">
        <w:rPr>
          <w:rFonts w:cs="Arial"/>
        </w:rPr>
        <w:t xml:space="preserve"> and community organisations. </w:t>
      </w:r>
    </w:p>
    <w:p w14:paraId="0CF1B8AC" w14:textId="32FE6CDB" w:rsidR="002B73D7" w:rsidRDefault="002B73D7" w:rsidP="00776DFC">
      <w:pPr>
        <w:pStyle w:val="Heading4"/>
      </w:pPr>
      <w:r w:rsidRPr="005A2F04">
        <w:t>Successes</w:t>
      </w:r>
    </w:p>
    <w:p w14:paraId="359F8536" w14:textId="232AB3E6" w:rsidR="00987E22" w:rsidRDefault="00987E22" w:rsidP="00987E22">
      <w:pPr>
        <w:pStyle w:val="CommentText"/>
      </w:pPr>
      <w:r>
        <w:t xml:space="preserve">The following approaches were used successfully </w:t>
      </w:r>
      <w:r w:rsidR="008F4FCC">
        <w:t xml:space="preserve">to set-up projects </w:t>
      </w:r>
      <w:r>
        <w:t>and indicate lessons learned for future projects.</w:t>
      </w:r>
    </w:p>
    <w:p w14:paraId="6FC0A2E7" w14:textId="77777777" w:rsidR="00987E22" w:rsidRDefault="00987E22" w:rsidP="00987E22">
      <w:pPr>
        <w:pStyle w:val="CommentText"/>
      </w:pPr>
    </w:p>
    <w:p w14:paraId="0DED7CD5" w14:textId="04AA7258" w:rsidR="002B73D7" w:rsidRPr="0084774A" w:rsidRDefault="00776DFC" w:rsidP="00132291">
      <w:pPr>
        <w:pStyle w:val="ListBullet"/>
        <w:rPr>
          <w:rFonts w:cs="Arial"/>
          <w:b/>
          <w:bCs/>
          <w:szCs w:val="20"/>
        </w:rPr>
      </w:pPr>
      <w:r>
        <w:rPr>
          <w:rFonts w:cs="Arial"/>
          <w:b/>
          <w:bCs/>
          <w:szCs w:val="20"/>
        </w:rPr>
        <w:lastRenderedPageBreak/>
        <w:t>Leveraging</w:t>
      </w:r>
      <w:r w:rsidR="002B73D7" w:rsidRPr="00AC7E6E">
        <w:rPr>
          <w:rFonts w:cs="Arial"/>
          <w:b/>
          <w:bCs/>
          <w:szCs w:val="20"/>
        </w:rPr>
        <w:t xml:space="preserve"> existing relationships with other organisations</w:t>
      </w:r>
      <w:r w:rsidR="002B73D7">
        <w:rPr>
          <w:rFonts w:cs="Arial"/>
          <w:b/>
          <w:bCs/>
          <w:szCs w:val="20"/>
        </w:rPr>
        <w:t xml:space="preserve"> by using these contacts as sources of support </w:t>
      </w:r>
      <w:r w:rsidR="002B73D7" w:rsidRPr="00AC7E6E">
        <w:rPr>
          <w:rFonts w:cs="Arial"/>
          <w:szCs w:val="20"/>
        </w:rPr>
        <w:t>help</w:t>
      </w:r>
      <w:r w:rsidR="002B73D7">
        <w:rPr>
          <w:rFonts w:cs="Arial"/>
          <w:szCs w:val="20"/>
        </w:rPr>
        <w:t>ed</w:t>
      </w:r>
      <w:r w:rsidR="002B73D7" w:rsidRPr="00AC7E6E">
        <w:rPr>
          <w:rFonts w:cs="Arial"/>
          <w:szCs w:val="20"/>
        </w:rPr>
        <w:t xml:space="preserve"> get projects off the ground quickly.</w:t>
      </w:r>
      <w:r w:rsidR="0084774A">
        <w:rPr>
          <w:rFonts w:cs="Arial"/>
          <w:szCs w:val="20"/>
        </w:rPr>
        <w:t xml:space="preserve"> </w:t>
      </w:r>
      <w:r w:rsidR="002B73D7" w:rsidRPr="00C3308E">
        <w:t xml:space="preserve">This was </w:t>
      </w:r>
      <w:r w:rsidR="002B73D7">
        <w:t xml:space="preserve">particularly </w:t>
      </w:r>
      <w:r w:rsidR="002B73D7" w:rsidRPr="00C3308E">
        <w:t xml:space="preserve">evident </w:t>
      </w:r>
      <w:r w:rsidR="002B73D7">
        <w:t>among</w:t>
      </w:r>
      <w:r w:rsidR="002B73D7" w:rsidRPr="00C3308E">
        <w:t xml:space="preserve"> School Transitions projects where organisations who already had strong links with one or more schools could </w:t>
      </w:r>
      <w:r w:rsidR="002B73D7">
        <w:t xml:space="preserve">swiftly </w:t>
      </w:r>
      <w:r w:rsidR="002B73D7" w:rsidRPr="00C3308E">
        <w:t>build on that foundation</w:t>
      </w:r>
      <w:r w:rsidR="002B73D7">
        <w:t xml:space="preserve"> to reach and engage high numbers of young people with their programme</w:t>
      </w:r>
      <w:r w:rsidR="002B73D7" w:rsidRPr="00C3308E">
        <w:t>. For example, a School Transition project had 50 schools signed up</w:t>
      </w:r>
      <w:r w:rsidR="00F40040">
        <w:t xml:space="preserve"> to the project</w:t>
      </w:r>
      <w:r w:rsidR="002B73D7" w:rsidRPr="00C3308E">
        <w:t xml:space="preserve">, many of whom they had pre-existing relationships with. </w:t>
      </w:r>
    </w:p>
    <w:p w14:paraId="6001FA70" w14:textId="7A0F7037" w:rsidR="002B73D7" w:rsidRPr="00957ED2" w:rsidRDefault="002B73D7" w:rsidP="00132291">
      <w:pPr>
        <w:pStyle w:val="ListBullet"/>
      </w:pPr>
      <w:r w:rsidRPr="00713414">
        <w:rPr>
          <w:rFonts w:cs="Arial"/>
          <w:b/>
          <w:bCs/>
          <w:szCs w:val="20"/>
        </w:rPr>
        <w:t>Drawing from a pool of</w:t>
      </w:r>
      <w:r w:rsidRPr="00AC7E6E">
        <w:rPr>
          <w:rFonts w:cs="Arial"/>
          <w:b/>
          <w:bCs/>
          <w:szCs w:val="20"/>
        </w:rPr>
        <w:t xml:space="preserve"> </w:t>
      </w:r>
      <w:r>
        <w:rPr>
          <w:rFonts w:cs="Arial"/>
          <w:b/>
          <w:bCs/>
          <w:szCs w:val="20"/>
        </w:rPr>
        <w:t xml:space="preserve">existing </w:t>
      </w:r>
      <w:r w:rsidRPr="00AC7E6E">
        <w:rPr>
          <w:rFonts w:cs="Arial"/>
          <w:b/>
          <w:bCs/>
          <w:szCs w:val="20"/>
        </w:rPr>
        <w:t>staff</w:t>
      </w:r>
      <w:r>
        <w:rPr>
          <w:rFonts w:cs="Arial"/>
          <w:b/>
          <w:bCs/>
          <w:szCs w:val="20"/>
        </w:rPr>
        <w:t xml:space="preserve"> to resource the project </w:t>
      </w:r>
      <w:r w:rsidRPr="00091274">
        <w:rPr>
          <w:rFonts w:cs="Arial"/>
          <w:szCs w:val="20"/>
        </w:rPr>
        <w:t>also</w:t>
      </w:r>
      <w:r>
        <w:rPr>
          <w:rFonts w:cs="Arial"/>
          <w:b/>
          <w:bCs/>
          <w:szCs w:val="20"/>
        </w:rPr>
        <w:t xml:space="preserve"> </w:t>
      </w:r>
      <w:r w:rsidRPr="00AC7E6E">
        <w:rPr>
          <w:rFonts w:cs="Arial"/>
          <w:szCs w:val="20"/>
        </w:rPr>
        <w:t>help</w:t>
      </w:r>
      <w:r>
        <w:rPr>
          <w:rFonts w:cs="Arial"/>
          <w:szCs w:val="20"/>
        </w:rPr>
        <w:t>ed</w:t>
      </w:r>
      <w:r w:rsidRPr="00AC7E6E">
        <w:rPr>
          <w:rFonts w:cs="Arial"/>
          <w:szCs w:val="20"/>
        </w:rPr>
        <w:t xml:space="preserve"> get projects off the ground quickly</w:t>
      </w:r>
      <w:r>
        <w:rPr>
          <w:rFonts w:cs="Arial"/>
          <w:szCs w:val="20"/>
        </w:rPr>
        <w:t xml:space="preserve"> and ensured smooth delivery later down the line</w:t>
      </w:r>
      <w:r w:rsidR="00776DFC">
        <w:rPr>
          <w:rFonts w:cs="Arial"/>
          <w:szCs w:val="20"/>
        </w:rPr>
        <w:t>,</w:t>
      </w:r>
      <w:r>
        <w:rPr>
          <w:rFonts w:cs="Arial"/>
          <w:szCs w:val="20"/>
        </w:rPr>
        <w:t xml:space="preserve"> by being able to bring in additional resource in crunch points</w:t>
      </w:r>
      <w:r w:rsidRPr="00AC7E6E">
        <w:rPr>
          <w:rFonts w:cs="Arial"/>
          <w:b/>
          <w:bCs/>
          <w:szCs w:val="20"/>
        </w:rPr>
        <w:t>.</w:t>
      </w:r>
      <w:r w:rsidR="0084774A">
        <w:rPr>
          <w:rFonts w:cs="Arial"/>
          <w:b/>
          <w:bCs/>
          <w:szCs w:val="20"/>
        </w:rPr>
        <w:t xml:space="preserve"> </w:t>
      </w:r>
      <w:r w:rsidR="00F40040" w:rsidRPr="00132291">
        <w:rPr>
          <w:rFonts w:cs="Arial"/>
          <w:szCs w:val="20"/>
        </w:rPr>
        <w:t>For example, when social distancing restrictions meant projects needed to quickly adapt their design to be delivered online, or when some young people taking part needed more one-to-one support from project staff initially to be able to engage with the project because of anxiety with group work or mental health concerns made worse by the pandemic.</w:t>
      </w:r>
      <w:r w:rsidR="00F40040">
        <w:rPr>
          <w:rFonts w:cs="Arial"/>
          <w:b/>
          <w:bCs/>
          <w:szCs w:val="20"/>
        </w:rPr>
        <w:t xml:space="preserve"> </w:t>
      </w:r>
      <w:r w:rsidRPr="00957ED2">
        <w:t xml:space="preserve">This was </w:t>
      </w:r>
      <w:r w:rsidR="00776DFC">
        <w:t xml:space="preserve">more likely </w:t>
      </w:r>
      <w:r>
        <w:t>for</w:t>
      </w:r>
      <w:r w:rsidRPr="00957ED2">
        <w:t xml:space="preserve"> larger </w:t>
      </w:r>
      <w:r w:rsidR="00F40040">
        <w:t xml:space="preserve">delivery </w:t>
      </w:r>
      <w:r w:rsidRPr="00957ED2">
        <w:t>organisations</w:t>
      </w:r>
      <w:r w:rsidR="00F40040">
        <w:t>, who could draw upon additional staff as needed</w:t>
      </w:r>
      <w:r>
        <w:t xml:space="preserve">. </w:t>
      </w:r>
    </w:p>
    <w:p w14:paraId="3B91085E" w14:textId="556CC253" w:rsidR="002B73D7" w:rsidRPr="00ED7615" w:rsidRDefault="002B73D7" w:rsidP="00132291">
      <w:pPr>
        <w:pStyle w:val="ListBullet"/>
      </w:pPr>
      <w:r w:rsidRPr="00AC7E6E">
        <w:rPr>
          <w:rFonts w:cs="Arial"/>
          <w:b/>
          <w:bCs/>
          <w:szCs w:val="20"/>
        </w:rPr>
        <w:t>Providing project staff and volunteers with safeguarding training delivered by subject experts.</w:t>
      </w:r>
      <w:r w:rsidR="0084774A">
        <w:rPr>
          <w:rFonts w:cs="Arial"/>
          <w:b/>
          <w:bCs/>
          <w:szCs w:val="20"/>
        </w:rPr>
        <w:t xml:space="preserve"> </w:t>
      </w:r>
      <w:r>
        <w:t>This was seen as particularly important among Bereavement projects</w:t>
      </w:r>
      <w:r w:rsidR="00F40040">
        <w:t xml:space="preserve">. </w:t>
      </w:r>
      <w:r>
        <w:t xml:space="preserve">For example, a Bereavement project </w:t>
      </w:r>
      <w:r w:rsidR="00F40040">
        <w:t>partnered</w:t>
      </w:r>
      <w:r>
        <w:t xml:space="preserve"> with a grief charity who provided specific training, advice and expertise to the project lead </w:t>
      </w:r>
      <w:r w:rsidR="004A5785">
        <w:t>about how she could talk to young people about bereavement, including a framework to help her understand how people respond to grief differently</w:t>
      </w:r>
      <w:r>
        <w:t>.</w:t>
      </w:r>
      <w:r w:rsidR="00987E22">
        <w:t xml:space="preserve"> </w:t>
      </w:r>
      <w:r>
        <w:t>Another project trained staff on various issues they may encounter in their project, like how to hav</w:t>
      </w:r>
      <w:r w:rsidR="00F40040">
        <w:t xml:space="preserve"> safe </w:t>
      </w:r>
      <w:r>
        <w:t xml:space="preserve">conversations about suicide. </w:t>
      </w:r>
    </w:p>
    <w:p w14:paraId="4034B980" w14:textId="7153D753" w:rsidR="002B73D7" w:rsidRPr="00D47874" w:rsidRDefault="002B73D7" w:rsidP="00132291">
      <w:pPr>
        <w:pStyle w:val="ListBullet"/>
      </w:pPr>
      <w:r>
        <w:rPr>
          <w:rFonts w:cs="Arial"/>
          <w:b/>
          <w:bCs/>
          <w:szCs w:val="20"/>
        </w:rPr>
        <w:t>Maximising participation of young people in the project</w:t>
      </w:r>
      <w:r w:rsidR="007D4625">
        <w:rPr>
          <w:rFonts w:cs="Arial"/>
          <w:b/>
          <w:bCs/>
          <w:szCs w:val="20"/>
        </w:rPr>
        <w:t xml:space="preserve"> through established models of youth participation, and </w:t>
      </w:r>
      <w:r w:rsidR="007D4625" w:rsidRPr="00132291">
        <w:rPr>
          <w:rFonts w:cs="Arial"/>
          <w:b/>
          <w:bCs/>
          <w:szCs w:val="20"/>
        </w:rPr>
        <w:t>young people steering groups to inform the project focus</w:t>
      </w:r>
      <w:r w:rsidR="000956A6">
        <w:rPr>
          <w:rFonts w:cs="Arial"/>
          <w:b/>
          <w:bCs/>
          <w:szCs w:val="20"/>
        </w:rPr>
        <w:t xml:space="preserve"> at set-up</w:t>
      </w:r>
      <w:r w:rsidR="007D4625" w:rsidRPr="00132291">
        <w:rPr>
          <w:rFonts w:cs="Arial"/>
          <w:szCs w:val="20"/>
        </w:rPr>
        <w:t>.</w:t>
      </w:r>
      <w:r w:rsidR="0084774A">
        <w:rPr>
          <w:rFonts w:cs="Arial"/>
          <w:szCs w:val="20"/>
        </w:rPr>
        <w:t xml:space="preserve"> </w:t>
      </w:r>
      <w:r w:rsidR="000956A6">
        <w:t>A Community Spaces project used the LUNDY model to ensure participation of young people from the outset.</w:t>
      </w:r>
      <w:r w:rsidR="000956A6">
        <w:rPr>
          <w:rStyle w:val="FootnoteReference"/>
        </w:rPr>
        <w:footnoteReference w:id="2"/>
      </w:r>
      <w:r w:rsidR="000956A6">
        <w:t xml:space="preserve"> This academic model </w:t>
      </w:r>
      <w:r w:rsidR="000956A6" w:rsidRPr="00D47874">
        <w:t xml:space="preserve">provides a way of understanding a child’s right to participation </w:t>
      </w:r>
      <w:r w:rsidR="000956A6">
        <w:t>by considering</w:t>
      </w:r>
      <w:r w:rsidR="000956A6" w:rsidRPr="00D47874">
        <w:t xml:space="preserve"> four key elements</w:t>
      </w:r>
      <w:r w:rsidR="000956A6">
        <w:t xml:space="preserve"> in project delivery: </w:t>
      </w:r>
      <w:r w:rsidR="000956A6" w:rsidRPr="00D47874">
        <w:t>space, voice, audience and influence</w:t>
      </w:r>
      <w:r w:rsidR="000956A6">
        <w:t xml:space="preserve">. </w:t>
      </w:r>
      <w:r w:rsidRPr="00132291">
        <w:t xml:space="preserve">A Community Spaces project engaged groups of young people </w:t>
      </w:r>
      <w:r w:rsidR="004A5785" w:rsidRPr="00132291">
        <w:t>in the initial design of the project before they began recruiting participants to take part, to help them identify the types of spaces they would want to reclaim and types of activities they would like to run</w:t>
      </w:r>
      <w:r w:rsidR="000956A6">
        <w:t xml:space="preserve">. </w:t>
      </w:r>
    </w:p>
    <w:p w14:paraId="41BD3D0A" w14:textId="77777777" w:rsidR="002B73D7" w:rsidRPr="005A2F04" w:rsidRDefault="002B73D7" w:rsidP="00132291">
      <w:pPr>
        <w:pStyle w:val="Heading4"/>
      </w:pPr>
      <w:r w:rsidRPr="005A2F04">
        <w:t xml:space="preserve">Challenges </w:t>
      </w:r>
    </w:p>
    <w:p w14:paraId="6782499E" w14:textId="01E4A743" w:rsidR="002B73D7" w:rsidRPr="00957ED2" w:rsidRDefault="000956A6" w:rsidP="002B73D7">
      <w:pPr>
        <w:pStyle w:val="BodyText"/>
        <w:rPr>
          <w:rFonts w:cs="Arial"/>
          <w:szCs w:val="20"/>
        </w:rPr>
      </w:pPr>
      <w:r w:rsidRPr="00132291">
        <w:rPr>
          <w:rFonts w:cs="Arial"/>
          <w:szCs w:val="20"/>
        </w:rPr>
        <w:t>The</w:t>
      </w:r>
      <w:r w:rsidR="002B73D7" w:rsidRPr="00132291">
        <w:rPr>
          <w:rFonts w:cs="Arial"/>
          <w:szCs w:val="20"/>
        </w:rPr>
        <w:t xml:space="preserve"> </w:t>
      </w:r>
      <w:r w:rsidR="002B73D7" w:rsidRPr="00AC7E6E">
        <w:rPr>
          <w:rFonts w:cs="Arial"/>
          <w:szCs w:val="20"/>
        </w:rPr>
        <w:t>Covid-19 pandemic presented a significant challenge to project set-up and delivery</w:t>
      </w:r>
      <w:r w:rsidR="002B73D7">
        <w:rPr>
          <w:rFonts w:cs="Arial"/>
          <w:szCs w:val="20"/>
        </w:rPr>
        <w:t xml:space="preserve">. </w:t>
      </w:r>
      <w:r w:rsidR="002B73D7" w:rsidRPr="00957ED2">
        <w:rPr>
          <w:rFonts w:cs="Arial"/>
          <w:szCs w:val="20"/>
        </w:rPr>
        <w:t>Projects often relied on partner organisations to set-up or deliver activities or provide facilities. The pandemic restrictions caused significant disruption to these arrangements</w:t>
      </w:r>
      <w:r w:rsidR="002B73D7">
        <w:rPr>
          <w:rFonts w:cs="Arial"/>
          <w:szCs w:val="20"/>
        </w:rPr>
        <w:t>:</w:t>
      </w:r>
      <w:r w:rsidR="002B73D7" w:rsidRPr="00AC7E6E">
        <w:rPr>
          <w:rFonts w:cs="Arial"/>
          <w:b/>
          <w:bCs/>
          <w:szCs w:val="20"/>
        </w:rPr>
        <w:t xml:space="preserve"> </w:t>
      </w:r>
    </w:p>
    <w:p w14:paraId="0C4F257E" w14:textId="77777777" w:rsidR="002B73D7" w:rsidRPr="00957ED2" w:rsidRDefault="002B73D7" w:rsidP="00132291">
      <w:pPr>
        <w:pStyle w:val="ListBullet"/>
      </w:pPr>
      <w:r w:rsidRPr="00132291">
        <w:rPr>
          <w:b/>
          <w:bCs/>
        </w:rPr>
        <w:t xml:space="preserve">Delays in set-up because of limited to no partnership capacity to engage with the project, when needing to prioritise other work. </w:t>
      </w:r>
      <w:r w:rsidRPr="006858F0">
        <w:t>Projects had to act quickly once restrictions had eased to re-engage with their partners but often found themselves competing with their partners’ other priorities and life generally being ‘busier.’ For example, schools prioritised exams and assessments over project engagement.</w:t>
      </w:r>
    </w:p>
    <w:p w14:paraId="535E0640" w14:textId="071433CF" w:rsidR="002B73D7" w:rsidRPr="00F6774F" w:rsidRDefault="002B73D7" w:rsidP="00132291">
      <w:pPr>
        <w:pStyle w:val="ListBullet"/>
      </w:pPr>
      <w:r w:rsidRPr="00132291">
        <w:rPr>
          <w:b/>
          <w:bCs/>
        </w:rPr>
        <w:t>Delays were often compounded by changes to set-up plans.</w:t>
      </w:r>
      <w:r w:rsidRPr="00F6774F">
        <w:t xml:space="preserve"> </w:t>
      </w:r>
      <w:r>
        <w:t>This</w:t>
      </w:r>
      <w:r w:rsidRPr="00F6774F">
        <w:t xml:space="preserve"> included where projects needed to find new partners because of the intended collaborators being unable to take part anymore</w:t>
      </w:r>
      <w:r w:rsidR="000956A6">
        <w:t>. I</w:t>
      </w:r>
      <w:r w:rsidRPr="00F6774F">
        <w:t>ssues accessing spaces for face-to-face activities because of social mixing and bubble restrictions, or community spaces and schools being closed</w:t>
      </w:r>
      <w:r w:rsidR="000956A6">
        <w:t>, further delayed delivery</w:t>
      </w:r>
      <w:r>
        <w:t xml:space="preserve">. </w:t>
      </w:r>
      <w:r w:rsidR="000956A6">
        <w:t xml:space="preserve">Some projects decided to </w:t>
      </w:r>
      <w:r w:rsidRPr="00F6774F">
        <w:t>reframe the</w:t>
      </w:r>
      <w:r w:rsidR="000956A6">
        <w:t>ir</w:t>
      </w:r>
      <w:r w:rsidRPr="00F6774F">
        <w:t xml:space="preserve"> project focus to be Covid-response related.</w:t>
      </w:r>
    </w:p>
    <w:p w14:paraId="592296EC" w14:textId="23DE431B" w:rsidR="002B73D7" w:rsidRPr="00152EDB" w:rsidRDefault="002B73D7" w:rsidP="002B73D7">
      <w:pPr>
        <w:pStyle w:val="BodyText"/>
        <w:rPr>
          <w:szCs w:val="20"/>
        </w:rPr>
      </w:pPr>
      <w:r>
        <w:rPr>
          <w:b/>
          <w:bCs/>
          <w:szCs w:val="20"/>
        </w:rPr>
        <w:lastRenderedPageBreak/>
        <w:t xml:space="preserve">Projects </w:t>
      </w:r>
      <w:r w:rsidR="008F4FCC">
        <w:rPr>
          <w:b/>
          <w:bCs/>
          <w:szCs w:val="20"/>
        </w:rPr>
        <w:t>were</w:t>
      </w:r>
      <w:r>
        <w:rPr>
          <w:b/>
          <w:bCs/>
          <w:szCs w:val="20"/>
        </w:rPr>
        <w:t xml:space="preserve"> flexible and creative in responding to Covid restrictions</w:t>
      </w:r>
      <w:r w:rsidR="008F4FCC">
        <w:rPr>
          <w:b/>
          <w:bCs/>
          <w:szCs w:val="20"/>
        </w:rPr>
        <w:t>. For example,</w:t>
      </w:r>
      <w:r>
        <w:rPr>
          <w:b/>
          <w:bCs/>
          <w:szCs w:val="20"/>
        </w:rPr>
        <w:t xml:space="preserve"> </w:t>
      </w:r>
      <w:r w:rsidRPr="00D75EC3">
        <w:rPr>
          <w:szCs w:val="20"/>
        </w:rPr>
        <w:t>mov</w:t>
      </w:r>
      <w:r>
        <w:rPr>
          <w:szCs w:val="20"/>
        </w:rPr>
        <w:t>ing</w:t>
      </w:r>
      <w:r w:rsidRPr="00D75EC3">
        <w:rPr>
          <w:szCs w:val="20"/>
        </w:rPr>
        <w:t xml:space="preserve"> delivery of activities online, moving activities to outdoor venues or securing large spaces </w:t>
      </w:r>
      <w:r w:rsidR="008F4FCC">
        <w:rPr>
          <w:szCs w:val="20"/>
        </w:rPr>
        <w:t>like</w:t>
      </w:r>
      <w:r w:rsidRPr="00D75EC3">
        <w:rPr>
          <w:szCs w:val="20"/>
        </w:rPr>
        <w:t xml:space="preserve"> school halls that allowed for social distancing.</w:t>
      </w:r>
      <w:r w:rsidRPr="00152EDB">
        <w:rPr>
          <w:szCs w:val="20"/>
        </w:rPr>
        <w:t xml:space="preserve"> </w:t>
      </w:r>
      <w:r w:rsidR="008F4FCC">
        <w:rPr>
          <w:szCs w:val="20"/>
        </w:rPr>
        <w:t xml:space="preserve">A </w:t>
      </w:r>
      <w:r w:rsidRPr="00152EDB">
        <w:rPr>
          <w:szCs w:val="20"/>
        </w:rPr>
        <w:t xml:space="preserve">Community Spaces project put up art exhibitions outside a venue </w:t>
      </w:r>
      <w:r>
        <w:rPr>
          <w:szCs w:val="20"/>
        </w:rPr>
        <w:t>instead of</w:t>
      </w:r>
      <w:r w:rsidRPr="00152EDB">
        <w:rPr>
          <w:szCs w:val="20"/>
        </w:rPr>
        <w:t xml:space="preserve"> inside</w:t>
      </w:r>
      <w:r w:rsidR="008F4FCC">
        <w:rPr>
          <w:szCs w:val="20"/>
        </w:rPr>
        <w:t>,</w:t>
      </w:r>
      <w:r w:rsidRPr="00152EDB">
        <w:rPr>
          <w:szCs w:val="20"/>
        </w:rPr>
        <w:t xml:space="preserve"> and a Schools Transition project ran virtual ‘taster sessions’ for </w:t>
      </w:r>
      <w:r>
        <w:rPr>
          <w:szCs w:val="20"/>
        </w:rPr>
        <w:t>Y</w:t>
      </w:r>
      <w:r w:rsidRPr="00152EDB">
        <w:rPr>
          <w:szCs w:val="20"/>
        </w:rPr>
        <w:t xml:space="preserve">ear 6s </w:t>
      </w:r>
      <w:r w:rsidR="008F4FCC">
        <w:rPr>
          <w:szCs w:val="20"/>
        </w:rPr>
        <w:t xml:space="preserve">when the project was not able </w:t>
      </w:r>
      <w:r w:rsidRPr="00152EDB">
        <w:rPr>
          <w:szCs w:val="20"/>
        </w:rPr>
        <w:t xml:space="preserve">to deliver their project </w:t>
      </w:r>
      <w:r>
        <w:rPr>
          <w:szCs w:val="20"/>
        </w:rPr>
        <w:t xml:space="preserve">face-to-face </w:t>
      </w:r>
      <w:r w:rsidRPr="00152EDB">
        <w:rPr>
          <w:szCs w:val="20"/>
        </w:rPr>
        <w:t>as planned.</w:t>
      </w:r>
      <w:r w:rsidR="008C47E5">
        <w:rPr>
          <w:szCs w:val="20"/>
        </w:rPr>
        <w:t xml:space="preserve"> </w:t>
      </w:r>
      <w:r>
        <w:rPr>
          <w:szCs w:val="20"/>
        </w:rPr>
        <w:t>A</w:t>
      </w:r>
      <w:r w:rsidRPr="00152EDB">
        <w:rPr>
          <w:szCs w:val="20"/>
        </w:rPr>
        <w:t xml:space="preserve"> project also mentioned developing specific risk assessments in line with COVID-19 restrictions</w:t>
      </w:r>
      <w:r w:rsidR="008F4FCC">
        <w:rPr>
          <w:szCs w:val="20"/>
        </w:rPr>
        <w:t>, to help the project go ahead and to ensure all involved felt safe to do so</w:t>
      </w:r>
      <w:r w:rsidRPr="00152EDB">
        <w:rPr>
          <w:szCs w:val="20"/>
        </w:rPr>
        <w:t xml:space="preserve">. </w:t>
      </w:r>
    </w:p>
    <w:p w14:paraId="177EBE42" w14:textId="77777777" w:rsidR="002B73D7" w:rsidRPr="005A2F04" w:rsidRDefault="002B73D7" w:rsidP="00132291">
      <w:pPr>
        <w:pStyle w:val="Heading2"/>
      </w:pPr>
      <w:r w:rsidRPr="005A2F04">
        <w:t>Recruiting target young people</w:t>
      </w:r>
    </w:p>
    <w:p w14:paraId="7455A4A4" w14:textId="2848CD92" w:rsidR="002B73D7" w:rsidRPr="00AC7E6E" w:rsidRDefault="002B73D7" w:rsidP="002B73D7">
      <w:pPr>
        <w:pStyle w:val="BodyText"/>
        <w:rPr>
          <w:rFonts w:cs="Arial"/>
        </w:rPr>
      </w:pPr>
      <w:r w:rsidRPr="00AC7E6E">
        <w:rPr>
          <w:rFonts w:cs="Arial"/>
        </w:rPr>
        <w:t xml:space="preserve">A key aim of Co-op’s #iwill </w:t>
      </w:r>
      <w:r w:rsidR="00E23E62">
        <w:rPr>
          <w:rFonts w:cs="Arial"/>
        </w:rPr>
        <w:t>Fund</w:t>
      </w:r>
      <w:r w:rsidRPr="00AC7E6E">
        <w:rPr>
          <w:rFonts w:cs="Arial"/>
        </w:rPr>
        <w:t xml:space="preserve"> is that the youth social action projects they fund engage young people who are most in need. This includes</w:t>
      </w:r>
      <w:r>
        <w:rPr>
          <w:rFonts w:cs="Arial"/>
        </w:rPr>
        <w:t xml:space="preserve"> </w:t>
      </w:r>
      <w:r w:rsidRPr="00AC7E6E">
        <w:rPr>
          <w:rFonts w:cs="Arial"/>
        </w:rPr>
        <w:t>having lived experience of the issue, being under-served,</w:t>
      </w:r>
      <w:r>
        <w:rPr>
          <w:rFonts w:cs="Arial"/>
        </w:rPr>
        <w:t xml:space="preserve"> or </w:t>
      </w:r>
      <w:r w:rsidRPr="00AC7E6E">
        <w:rPr>
          <w:rFonts w:cs="Arial"/>
        </w:rPr>
        <w:t xml:space="preserve">from a community that does not have its voice heard. </w:t>
      </w:r>
      <w:r w:rsidR="00332D87">
        <w:rPr>
          <w:rFonts w:cs="Arial"/>
        </w:rPr>
        <w:t>E</w:t>
      </w:r>
      <w:r w:rsidR="00332D87" w:rsidRPr="00AC7E6E">
        <w:rPr>
          <w:rFonts w:cs="Arial"/>
        </w:rPr>
        <w:t>vidence</w:t>
      </w:r>
      <w:r w:rsidR="00332D87">
        <w:rPr>
          <w:rFonts w:cs="Arial"/>
        </w:rPr>
        <w:t xml:space="preserve"> discussed in the outcomes section above </w:t>
      </w:r>
      <w:r w:rsidR="00332D87" w:rsidRPr="00AC7E6E">
        <w:rPr>
          <w:rFonts w:cs="Arial"/>
        </w:rPr>
        <w:t>suggests projects have been successful in achieving this within their target audiences.</w:t>
      </w:r>
      <w:r w:rsidR="00332D87" w:rsidRPr="00AC7E6E" w:rsidDel="00332D87">
        <w:rPr>
          <w:rFonts w:cs="Arial"/>
        </w:rPr>
        <w:t xml:space="preserve"> </w:t>
      </w:r>
    </w:p>
    <w:p w14:paraId="149A3066" w14:textId="47FF3C65" w:rsidR="002B73D7" w:rsidRDefault="002B73D7">
      <w:pPr>
        <w:pStyle w:val="Heading4"/>
      </w:pPr>
      <w:r w:rsidRPr="005A2F04">
        <w:t>Successes</w:t>
      </w:r>
    </w:p>
    <w:p w14:paraId="57712F0D" w14:textId="1347F407" w:rsidR="008F4FCC" w:rsidRDefault="008F4FCC" w:rsidP="008F4FCC">
      <w:pPr>
        <w:pStyle w:val="CommentText"/>
      </w:pPr>
      <w:r>
        <w:t>The following approaches were used successfully to recruit young people and indicate lessons learned for future projects.</w:t>
      </w:r>
    </w:p>
    <w:p w14:paraId="2DF11DC2" w14:textId="4ADFE159" w:rsidR="002B73D7" w:rsidRPr="00611696" w:rsidRDefault="002B73D7" w:rsidP="00132291">
      <w:pPr>
        <w:pStyle w:val="ListBullet"/>
      </w:pPr>
      <w:r w:rsidRPr="00F6774F">
        <w:rPr>
          <w:b/>
          <w:bCs/>
        </w:rPr>
        <w:t>Using multiple channels</w:t>
      </w:r>
      <w:r w:rsidR="00332D87">
        <w:rPr>
          <w:b/>
          <w:bCs/>
        </w:rPr>
        <w:t xml:space="preserve"> to engage target young people</w:t>
      </w:r>
      <w:r w:rsidRPr="00611696">
        <w:t>, including advertising through social and local media, and through referrals from youth-focused organisations and school</w:t>
      </w:r>
      <w:r w:rsidR="00FF7625">
        <w:t xml:space="preserve">. </w:t>
      </w:r>
      <w:r w:rsidR="00332D87">
        <w:t>Advertisements to community and project organisations’ Facebook, Twitter and Instagram accounts were</w:t>
      </w:r>
      <w:r w:rsidRPr="00611696">
        <w:t xml:space="preserve"> employed effectively to recruit young people directly to projects</w:t>
      </w:r>
      <w:r w:rsidR="004656FC">
        <w:t>.</w:t>
      </w:r>
    </w:p>
    <w:p w14:paraId="160F60A3" w14:textId="77777777" w:rsidR="002B73D7" w:rsidRPr="00611696" w:rsidRDefault="002B73D7" w:rsidP="00132291">
      <w:pPr>
        <w:pStyle w:val="ListBullet"/>
      </w:pPr>
      <w:r w:rsidRPr="00F6774F">
        <w:rPr>
          <w:b/>
          <w:bCs/>
        </w:rPr>
        <w:t>Established community organisations or leaders with strong links to the target youth were effective gatekeepers</w:t>
      </w:r>
      <w:r w:rsidRPr="00611696">
        <w:t>, as were schools based in areas of deprivation and teachers who could identify those who would benefit most.</w:t>
      </w:r>
    </w:p>
    <w:p w14:paraId="66FB19CA" w14:textId="77777777" w:rsidR="002B73D7" w:rsidRPr="00611696" w:rsidRDefault="002B73D7" w:rsidP="00132291">
      <w:pPr>
        <w:pStyle w:val="ListBullet"/>
      </w:pPr>
      <w:r w:rsidRPr="00611696">
        <w:t xml:space="preserve">Recruitment of young people, and project delivery, </w:t>
      </w:r>
      <w:r w:rsidRPr="00F6774F">
        <w:rPr>
          <w:b/>
          <w:bCs/>
        </w:rPr>
        <w:t>was helped by the involvement of delivery staff with lived experience of the topic</w:t>
      </w:r>
      <w:r w:rsidRPr="00611696">
        <w:t xml:space="preserve"> or previous experience of the target audience or project setting.</w:t>
      </w:r>
    </w:p>
    <w:p w14:paraId="479E5638" w14:textId="09D4E708" w:rsidR="002B73D7" w:rsidRPr="00611696" w:rsidRDefault="002B73D7" w:rsidP="00132291">
      <w:pPr>
        <w:pStyle w:val="ListBullet"/>
      </w:pPr>
      <w:r>
        <w:t>Y</w:t>
      </w:r>
      <w:r w:rsidRPr="00611696">
        <w:t>oung person engagement</w:t>
      </w:r>
      <w:r>
        <w:t xml:space="preserve"> was maximised where projects had</w:t>
      </w:r>
      <w:r>
        <w:rPr>
          <w:b/>
          <w:bCs/>
        </w:rPr>
        <w:t xml:space="preserve"> </w:t>
      </w:r>
      <w:r w:rsidRPr="005A3CAE">
        <w:rPr>
          <w:b/>
          <w:bCs/>
        </w:rPr>
        <w:t>tailor</w:t>
      </w:r>
      <w:r>
        <w:rPr>
          <w:b/>
          <w:bCs/>
        </w:rPr>
        <w:t>ed</w:t>
      </w:r>
      <w:r w:rsidRPr="005A3CAE">
        <w:rPr>
          <w:b/>
          <w:bCs/>
        </w:rPr>
        <w:t xml:space="preserve"> solutions </w:t>
      </w:r>
      <w:r>
        <w:rPr>
          <w:b/>
          <w:bCs/>
        </w:rPr>
        <w:t xml:space="preserve">in response to their </w:t>
      </w:r>
      <w:r w:rsidRPr="005A3CAE">
        <w:rPr>
          <w:b/>
          <w:bCs/>
        </w:rPr>
        <w:t>assess</w:t>
      </w:r>
      <w:r>
        <w:rPr>
          <w:b/>
          <w:bCs/>
        </w:rPr>
        <w:t>ment of</w:t>
      </w:r>
      <w:r w:rsidRPr="005A3CAE">
        <w:rPr>
          <w:b/>
          <w:bCs/>
        </w:rPr>
        <w:t xml:space="preserve"> individual needs during recruitment</w:t>
      </w:r>
      <w:r w:rsidRPr="00611696">
        <w:t>.</w:t>
      </w:r>
      <w:r w:rsidR="00FF7625">
        <w:t xml:space="preserve"> </w:t>
      </w:r>
      <w:r w:rsidRPr="004656FC">
        <w:t xml:space="preserve">For example, a Community Spaces project contacted young people individually beforehand either face-to-face or online to reduce their anxiety around participation in the project. </w:t>
      </w:r>
    </w:p>
    <w:p w14:paraId="63A0EAD0" w14:textId="5D728CD5" w:rsidR="002B73D7" w:rsidRPr="00611696" w:rsidRDefault="002B73D7" w:rsidP="00132291">
      <w:pPr>
        <w:pStyle w:val="ListBullet"/>
      </w:pPr>
      <w:r w:rsidRPr="00DC6363">
        <w:rPr>
          <w:b/>
          <w:bCs/>
        </w:rPr>
        <w:t>Online delivery methods allowed</w:t>
      </w:r>
      <w:r>
        <w:rPr>
          <w:b/>
          <w:bCs/>
        </w:rPr>
        <w:t xml:space="preserve"> geographically dispersed</w:t>
      </w:r>
      <w:r w:rsidRPr="00DC6363">
        <w:rPr>
          <w:b/>
          <w:bCs/>
        </w:rPr>
        <w:t xml:space="preserve"> young people </w:t>
      </w:r>
      <w:r>
        <w:rPr>
          <w:b/>
          <w:bCs/>
        </w:rPr>
        <w:t>to</w:t>
      </w:r>
      <w:r w:rsidRPr="00DC6363">
        <w:rPr>
          <w:b/>
          <w:bCs/>
        </w:rPr>
        <w:t xml:space="preserve"> participate </w:t>
      </w:r>
      <w:r w:rsidRPr="00611696">
        <w:t>and meant that</w:t>
      </w:r>
      <w:r>
        <w:t xml:space="preserve"> more</w:t>
      </w:r>
      <w:r w:rsidRPr="00611696">
        <w:t xml:space="preserve"> young people with shared experience could </w:t>
      </w:r>
      <w:r>
        <w:t>benefit</w:t>
      </w:r>
      <w:r w:rsidRPr="00611696">
        <w:t>.</w:t>
      </w:r>
      <w:r w:rsidR="00FF7625">
        <w:t xml:space="preserve"> </w:t>
      </w:r>
      <w:r w:rsidR="00332D87" w:rsidRPr="004656FC">
        <w:t>A</w:t>
      </w:r>
      <w:r w:rsidRPr="00132291">
        <w:t xml:space="preserve"> Bereavement project observed that some of their participants came from rural areas where they did not know any other young people who had been bereaved. The lead felt that the young people benefitted greatly from the opportunity to connect with others who had been through the same experience they had. Another project described a young person join</w:t>
      </w:r>
      <w:r w:rsidR="00FF7625">
        <w:t>ing</w:t>
      </w:r>
      <w:r w:rsidRPr="004656FC">
        <w:t xml:space="preserve"> sessions from overseas while they were travelling. </w:t>
      </w:r>
    </w:p>
    <w:p w14:paraId="2F5D2287" w14:textId="77777777" w:rsidR="002B73D7" w:rsidRDefault="002B73D7" w:rsidP="00132291">
      <w:pPr>
        <w:pStyle w:val="Heading4"/>
      </w:pPr>
      <w:r w:rsidRPr="005A2F04">
        <w:t>Challenges</w:t>
      </w:r>
    </w:p>
    <w:p w14:paraId="2CC1242B" w14:textId="7492D251" w:rsidR="002B73D7" w:rsidRDefault="002B73D7" w:rsidP="002B73D7">
      <w:pPr>
        <w:pStyle w:val="BodyText"/>
      </w:pPr>
      <w:r w:rsidRPr="00AC7E6E">
        <w:t xml:space="preserve">Because of the pandemic, projects could not recruit face-to-face, as many preferred to do. However, </w:t>
      </w:r>
      <w:r>
        <w:t xml:space="preserve">project leads felt that </w:t>
      </w:r>
      <w:r w:rsidRPr="00AC7E6E">
        <w:t>recruit</w:t>
      </w:r>
      <w:r>
        <w:t>ing young people exclusively through virtual methods</w:t>
      </w:r>
      <w:r w:rsidRPr="00AC7E6E">
        <w:t xml:space="preserve"> </w:t>
      </w:r>
      <w:r>
        <w:t>had been</w:t>
      </w:r>
      <w:r w:rsidRPr="00AC7E6E">
        <w:t xml:space="preserve"> challenging</w:t>
      </w:r>
      <w:r>
        <w:t>:</w:t>
      </w:r>
      <w:r w:rsidRPr="00AC7E6E">
        <w:t xml:space="preserve"> some young people faced barriers to online access</w:t>
      </w:r>
      <w:r>
        <w:t xml:space="preserve"> </w:t>
      </w:r>
      <w:r w:rsidRPr="00AC7E6E">
        <w:t xml:space="preserve">while others </w:t>
      </w:r>
      <w:r w:rsidR="008F4FCC">
        <w:t xml:space="preserve">doing school remotely </w:t>
      </w:r>
      <w:r w:rsidRPr="00AC7E6E">
        <w:t>experienced ‘screen fatigue’. As a result, projects generally felt that take-up by young people was lower than it would have been otherwise.</w:t>
      </w:r>
    </w:p>
    <w:p w14:paraId="6112565D" w14:textId="77777777" w:rsidR="002B73D7" w:rsidRPr="005A2F04" w:rsidRDefault="002B73D7" w:rsidP="00132291">
      <w:pPr>
        <w:pStyle w:val="Heading2"/>
      </w:pPr>
      <w:r w:rsidRPr="005A2F04">
        <w:lastRenderedPageBreak/>
        <w:t>Delivering activities</w:t>
      </w:r>
    </w:p>
    <w:p w14:paraId="17880F7F" w14:textId="5467A6CE" w:rsidR="002B73D7" w:rsidRPr="00AC7E6E" w:rsidRDefault="0066208F" w:rsidP="002B73D7">
      <w:pPr>
        <w:pStyle w:val="BodyText"/>
        <w:rPr>
          <w:rFonts w:cs="Arial"/>
        </w:rPr>
      </w:pPr>
      <w:r>
        <w:rPr>
          <w:rFonts w:cs="Arial"/>
        </w:rPr>
        <w:t>P</w:t>
      </w:r>
      <w:r w:rsidR="002B73D7" w:rsidRPr="00AC7E6E">
        <w:rPr>
          <w:rFonts w:cs="Arial"/>
        </w:rPr>
        <w:t>rojects were</w:t>
      </w:r>
      <w:r>
        <w:rPr>
          <w:rFonts w:cs="Arial"/>
        </w:rPr>
        <w:t xml:space="preserve"> often</w:t>
      </w:r>
      <w:r w:rsidR="002B73D7" w:rsidRPr="00AC7E6E">
        <w:rPr>
          <w:rFonts w:cs="Arial"/>
        </w:rPr>
        <w:t xml:space="preserve"> in the early stages</w:t>
      </w:r>
      <w:r w:rsidR="002B73D7">
        <w:rPr>
          <w:rFonts w:cs="Arial"/>
        </w:rPr>
        <w:t xml:space="preserve"> of delivery</w:t>
      </w:r>
      <w:r>
        <w:rPr>
          <w:rFonts w:cs="Arial"/>
        </w:rPr>
        <w:t>,</w:t>
      </w:r>
      <w:r w:rsidR="002B73D7" w:rsidRPr="00AC7E6E">
        <w:rPr>
          <w:rFonts w:cs="Arial"/>
        </w:rPr>
        <w:t xml:space="preserve"> had not yet begun engaging young people in peer support or in developing a solution to the issue they intended to address. Learnings around delivery therefore focus on engaging young people in the projects and encouraging positive relationships with other participants and project staff. </w:t>
      </w:r>
    </w:p>
    <w:p w14:paraId="59C72937" w14:textId="7217B14E" w:rsidR="002B73D7" w:rsidRDefault="002B73D7">
      <w:pPr>
        <w:pStyle w:val="Heading4"/>
      </w:pPr>
      <w:r w:rsidRPr="005A2F04">
        <w:t>Successes</w:t>
      </w:r>
    </w:p>
    <w:p w14:paraId="3BFF65A5" w14:textId="652B0869" w:rsidR="008F4FCC" w:rsidRDefault="008F4FCC" w:rsidP="008F4FCC">
      <w:pPr>
        <w:pStyle w:val="CommentText"/>
      </w:pPr>
      <w:r>
        <w:t xml:space="preserve">The following approaches were used successfully </w:t>
      </w:r>
      <w:r w:rsidR="00F346A4">
        <w:t xml:space="preserve">to deliver activities </w:t>
      </w:r>
      <w:r>
        <w:t>and indicate lessons learned for future projects.</w:t>
      </w:r>
    </w:p>
    <w:p w14:paraId="0D6C3E12" w14:textId="06E16399" w:rsidR="002B73D7" w:rsidRPr="00AC7E6E" w:rsidRDefault="002B73D7" w:rsidP="00132291">
      <w:pPr>
        <w:pStyle w:val="ListBullet"/>
      </w:pPr>
      <w:r w:rsidRPr="00AC7E6E">
        <w:rPr>
          <w:b/>
          <w:bCs/>
        </w:rPr>
        <w:t>Allowing young people to take the lead</w:t>
      </w:r>
      <w:r w:rsidRPr="00AC7E6E">
        <w:t xml:space="preserve"> was effective in maintaining their engagement and motivation. For example, </w:t>
      </w:r>
      <w:r>
        <w:t xml:space="preserve">in </w:t>
      </w:r>
      <w:r w:rsidR="0066208F">
        <w:t>a</w:t>
      </w:r>
      <w:r>
        <w:t xml:space="preserve"> Community Spaces project, </w:t>
      </w:r>
      <w:r w:rsidRPr="00AC7E6E">
        <w:t xml:space="preserve">young people </w:t>
      </w:r>
      <w:r>
        <w:t xml:space="preserve">had </w:t>
      </w:r>
      <w:r w:rsidRPr="00AC7E6E">
        <w:t xml:space="preserve">designed and led some of the green space activities themselves with </w:t>
      </w:r>
      <w:r w:rsidR="0066208F">
        <w:t>little</w:t>
      </w:r>
      <w:r w:rsidRPr="00AC7E6E">
        <w:t xml:space="preserve"> mentoring support from the project staff. The </w:t>
      </w:r>
      <w:r w:rsidR="0066208F">
        <w:t xml:space="preserve">project </w:t>
      </w:r>
      <w:r>
        <w:t xml:space="preserve">lead </w:t>
      </w:r>
      <w:r w:rsidRPr="00AC7E6E">
        <w:t>reported high levels of enthusiasm</w:t>
      </w:r>
      <w:r w:rsidR="0066208F">
        <w:t xml:space="preserve"> from the young people for this approach. </w:t>
      </w:r>
    </w:p>
    <w:p w14:paraId="6FF09716" w14:textId="4CD94C3E" w:rsidR="002B73D7" w:rsidRDefault="002B73D7" w:rsidP="00FF7625">
      <w:pPr>
        <w:pStyle w:val="ListBullet"/>
      </w:pPr>
      <w:r w:rsidRPr="00AC7E6E">
        <w:rPr>
          <w:b/>
          <w:bCs/>
        </w:rPr>
        <w:t>Using different activities or settings unrelated to the key project aim</w:t>
      </w:r>
      <w:r w:rsidRPr="00AC7E6E">
        <w:t xml:space="preserve"> helped to encourage communication and build trust with young people who found it difficult to engage.</w:t>
      </w:r>
      <w:r w:rsidR="00FF7625">
        <w:t xml:space="preserve"> </w:t>
      </w:r>
      <w:r>
        <w:t xml:space="preserve">Some projects had used activities </w:t>
      </w:r>
      <w:r w:rsidR="00F346A4">
        <w:t>like</w:t>
      </w:r>
      <w:r>
        <w:t xml:space="preserve"> arts and crafts to put y</w:t>
      </w:r>
      <w:r w:rsidRPr="00AC7E6E">
        <w:t xml:space="preserve">oung people </w:t>
      </w:r>
      <w:r>
        <w:t xml:space="preserve">at ease and </w:t>
      </w:r>
      <w:r w:rsidRPr="00AC7E6E">
        <w:t>encourage</w:t>
      </w:r>
      <w:r>
        <w:t xml:space="preserve"> them</w:t>
      </w:r>
      <w:r w:rsidRPr="00AC7E6E">
        <w:t xml:space="preserve"> to </w:t>
      </w:r>
      <w:r w:rsidR="00F346A4">
        <w:t xml:space="preserve">be more </w:t>
      </w:r>
      <w:r w:rsidR="00F346A4" w:rsidRPr="00AC7E6E">
        <w:t>open</w:t>
      </w:r>
      <w:r w:rsidRPr="00AC7E6E">
        <w:t xml:space="preserve"> about personal experience</w:t>
      </w:r>
      <w:r>
        <w:t xml:space="preserve">s. This meant </w:t>
      </w:r>
      <w:r w:rsidRPr="00AC7E6E">
        <w:t xml:space="preserve">that they did not have to make eye contact with others while they were speaking. </w:t>
      </w:r>
      <w:r>
        <w:t>Others had r</w:t>
      </w:r>
      <w:r w:rsidRPr="00AC7E6E">
        <w:t>un sessions in different environments, for example, outside of the school setting</w:t>
      </w:r>
      <w:r>
        <w:t>, which</w:t>
      </w:r>
      <w:r w:rsidRPr="00AC7E6E">
        <w:t xml:space="preserve"> also encouraged young people to speak more freely.</w:t>
      </w:r>
    </w:p>
    <w:p w14:paraId="7827554B" w14:textId="346733C0" w:rsidR="008C74A8" w:rsidRPr="00AC7E6E" w:rsidRDefault="008C74A8" w:rsidP="00132291">
      <w:pPr>
        <w:pStyle w:val="ListBullet"/>
      </w:pPr>
      <w:r w:rsidRPr="00132291">
        <w:rPr>
          <w:b/>
          <w:bCs/>
        </w:rPr>
        <w:t>Creating an inclusive environment for young people.</w:t>
      </w:r>
      <w:r>
        <w:t xml:space="preserve"> Projects had </w:t>
      </w:r>
      <w:r w:rsidR="007451E7">
        <w:t>sought to do</w:t>
      </w:r>
      <w:r>
        <w:t xml:space="preserve"> this </w:t>
      </w:r>
      <w:r w:rsidR="007451E7">
        <w:t>by</w:t>
      </w:r>
      <w:r>
        <w:t xml:space="preserve"> </w:t>
      </w:r>
      <w:r w:rsidRPr="008C74A8">
        <w:t>posting inclusive subject matter on social media pages; adjusting scheduling and group sizes to suit young people who had difficulties in large groups; or by using a welcoming and personalised one-to-one onboarding process</w:t>
      </w:r>
      <w:r w:rsidR="007451E7">
        <w:t xml:space="preserve">. </w:t>
      </w:r>
      <w:r w:rsidR="007451E7" w:rsidRPr="007451E7">
        <w:t xml:space="preserve">A Bereavement project ran specific workshops around different cultural interpretations of bereavement, which young people said helped them </w:t>
      </w:r>
      <w:r w:rsidR="00F346A4">
        <w:t>relate to and understand young people</w:t>
      </w:r>
      <w:r w:rsidR="007451E7" w:rsidRPr="007451E7">
        <w:t xml:space="preserve"> from different backgrounds.</w:t>
      </w:r>
    </w:p>
    <w:p w14:paraId="6E478F70" w14:textId="79194A9F" w:rsidR="00FF7625" w:rsidRPr="00770FC7" w:rsidRDefault="002B73D7" w:rsidP="00132291">
      <w:pPr>
        <w:pStyle w:val="ListBullet"/>
      </w:pPr>
      <w:r w:rsidRPr="00AC7E6E">
        <w:rPr>
          <w:b/>
          <w:bCs/>
        </w:rPr>
        <w:t xml:space="preserve">Some online delivery methods, such as webchat, enabled projects to engage young people </w:t>
      </w:r>
      <w:r>
        <w:rPr>
          <w:b/>
          <w:bCs/>
        </w:rPr>
        <w:t>with different learning styles</w:t>
      </w:r>
      <w:r w:rsidR="0066208F">
        <w:rPr>
          <w:b/>
          <w:bCs/>
        </w:rPr>
        <w:t xml:space="preserve"> or </w:t>
      </w:r>
      <w:r>
        <w:rPr>
          <w:b/>
          <w:bCs/>
        </w:rPr>
        <w:t xml:space="preserve">preferences, </w:t>
      </w:r>
      <w:r w:rsidRPr="00CE36DB">
        <w:t>particularly those who may</w:t>
      </w:r>
      <w:r w:rsidRPr="00AC7E6E">
        <w:t xml:space="preserve"> have been more nervous about taking part face-to-face.</w:t>
      </w:r>
      <w:r w:rsidR="00FF7625">
        <w:t xml:space="preserve"> </w:t>
      </w:r>
      <w:r w:rsidR="0066208F">
        <w:t>P</w:t>
      </w:r>
      <w:r w:rsidRPr="00AC7E6E">
        <w:t>rojects addressing sensitive subjects felt</w:t>
      </w:r>
      <w:r>
        <w:t xml:space="preserve"> that</w:t>
      </w:r>
      <w:r w:rsidRPr="00AC7E6E">
        <w:t xml:space="preserve"> online platforms </w:t>
      </w:r>
      <w:r>
        <w:t>which</w:t>
      </w:r>
      <w:r w:rsidRPr="00AC7E6E">
        <w:t xml:space="preserve"> allow participants to switch off their video or to write their thoughts in the chat or on a virtual whiteboard offered young people some anonymity that helped build their confidence and engagement</w:t>
      </w:r>
      <w:r w:rsidR="00F346A4">
        <w:t>. For example,</w:t>
      </w:r>
      <w:r>
        <w:t xml:space="preserve"> </w:t>
      </w:r>
      <w:r w:rsidRPr="00AC7E6E">
        <w:t>a Community Spaces group delivering to LBGTQ children</w:t>
      </w:r>
      <w:r w:rsidR="0066208F">
        <w:t>,</w:t>
      </w:r>
      <w:r w:rsidRPr="00AC7E6E">
        <w:t xml:space="preserve"> and Bereavement projects</w:t>
      </w:r>
      <w:r>
        <w:t xml:space="preserve"> noted this</w:t>
      </w:r>
      <w:r w:rsidRPr="00AC7E6E">
        <w:t>.</w:t>
      </w:r>
      <w:r w:rsidRPr="000F1E1C">
        <w:t xml:space="preserve"> </w:t>
      </w:r>
      <w:r w:rsidR="00F346A4">
        <w:t>A</w:t>
      </w:r>
      <w:r w:rsidRPr="00AC7E6E">
        <w:t xml:space="preserve"> Community Spaces project referenced the fact that the</w:t>
      </w:r>
      <w:r>
        <w:t>ir</w:t>
      </w:r>
      <w:r w:rsidRPr="00AC7E6E">
        <w:t xml:space="preserve"> website and chat function was always ‘live’, which meant that young people engaging with the project could easily access support whenever they needed it, whatever time of day.</w:t>
      </w:r>
      <w:r w:rsidR="00FF7625">
        <w:t xml:space="preserve"> </w:t>
      </w:r>
      <w:r w:rsidRPr="00AC7E6E">
        <w:t>A Community Space project had switched training of young people to deliver green space projects to online which had worked well and will be continued.</w:t>
      </w:r>
      <w:r w:rsidRPr="004656FC">
        <w:t xml:space="preserve"> </w:t>
      </w:r>
      <w:r w:rsidR="00E754DC">
        <w:t>They adapted their existing face</w:t>
      </w:r>
      <w:r w:rsidR="00730373">
        <w:t>-</w:t>
      </w:r>
      <w:r w:rsidR="00E754DC">
        <w:t>to</w:t>
      </w:r>
      <w:r w:rsidR="00730373">
        <w:t>-</w:t>
      </w:r>
      <w:r w:rsidR="00E754DC">
        <w:t>face training programme and used the initial cohorts of young people to feedback on the materials and made improvements to them for subsequent cohorts. The online training programme also led to more regular contact than the previous face</w:t>
      </w:r>
      <w:r w:rsidR="00730373">
        <w:t>-</w:t>
      </w:r>
      <w:r w:rsidR="00E754DC">
        <w:t>to</w:t>
      </w:r>
      <w:r w:rsidR="00730373">
        <w:t>-</w:t>
      </w:r>
      <w:r w:rsidR="00E754DC">
        <w:t xml:space="preserve">face approach as they decided to run sessions weekly. </w:t>
      </w:r>
    </w:p>
    <w:p w14:paraId="13EE21E3" w14:textId="44B925E5" w:rsidR="002B73D7" w:rsidRPr="00AC7E6E" w:rsidRDefault="00FF7625" w:rsidP="00132291">
      <w:pPr>
        <w:pStyle w:val="ListBullet"/>
      </w:pPr>
      <w:r w:rsidRPr="00132291">
        <w:rPr>
          <w:b/>
          <w:bCs/>
        </w:rPr>
        <w:t>Giving young people notice of session topics and reminding them of the projects agreed terms of reference, ahead of sessions</w:t>
      </w:r>
      <w:r>
        <w:t>, helped some young people better prepare to engage with sessions.</w:t>
      </w:r>
    </w:p>
    <w:p w14:paraId="7CE1FC25" w14:textId="6CCB081A" w:rsidR="002B73D7" w:rsidRDefault="002B73D7" w:rsidP="00132291">
      <w:pPr>
        <w:pStyle w:val="ListBullet"/>
      </w:pPr>
      <w:r w:rsidRPr="006248F6">
        <w:rPr>
          <w:b/>
          <w:bCs/>
        </w:rPr>
        <w:t xml:space="preserve">Providing wellbeing support </w:t>
      </w:r>
      <w:r w:rsidR="008C47E5">
        <w:rPr>
          <w:b/>
          <w:bCs/>
        </w:rPr>
        <w:t>to staff who experienced wellbeing concerns from delivering</w:t>
      </w:r>
      <w:r w:rsidR="00132291">
        <w:rPr>
          <w:b/>
          <w:bCs/>
        </w:rPr>
        <w:t xml:space="preserve"> </w:t>
      </w:r>
      <w:r w:rsidRPr="00132291">
        <w:rPr>
          <w:b/>
          <w:bCs/>
        </w:rPr>
        <w:t>project activities</w:t>
      </w:r>
      <w:r w:rsidR="008C47E5">
        <w:t xml:space="preserve">, </w:t>
      </w:r>
      <w:r w:rsidRPr="00113634">
        <w:t xml:space="preserve">particularly where the topic was sensitive, or </w:t>
      </w:r>
      <w:r w:rsidR="00F346A4">
        <w:t xml:space="preserve">where young people </w:t>
      </w:r>
      <w:r w:rsidRPr="00113634">
        <w:t xml:space="preserve">had </w:t>
      </w:r>
      <w:r w:rsidRPr="00113634">
        <w:lastRenderedPageBreak/>
        <w:t xml:space="preserve">complex needs. For example, </w:t>
      </w:r>
      <w:r w:rsidR="008C47E5">
        <w:t>a</w:t>
      </w:r>
      <w:r w:rsidRPr="00113634">
        <w:t xml:space="preserve"> Community Spaces project paid for therapy sessions and wellbeing workshops for all staff.</w:t>
      </w:r>
      <w:r w:rsidR="008C47E5">
        <w:t xml:space="preserve"> </w:t>
      </w:r>
      <w:r w:rsidRPr="00113634">
        <w:t>Another</w:t>
      </w:r>
      <w:r w:rsidR="00F346A4">
        <w:t xml:space="preserve"> project</w:t>
      </w:r>
      <w:r w:rsidRPr="00113634">
        <w:t xml:space="preserve"> set up their online chat service so that an experienced staff member supervised each session who had sight of the chats and could lend support by phone whenever needed. The supervisor ran feedback phone calls with the volunteers who were speaking to young people to give them support. </w:t>
      </w:r>
    </w:p>
    <w:p w14:paraId="2470F1FE" w14:textId="77777777" w:rsidR="002B73D7" w:rsidRDefault="002B73D7" w:rsidP="00132291">
      <w:pPr>
        <w:pStyle w:val="Heading4"/>
      </w:pPr>
      <w:r w:rsidRPr="005A2F04">
        <w:t xml:space="preserve">Challenges </w:t>
      </w:r>
    </w:p>
    <w:p w14:paraId="572BB91F" w14:textId="1AEFDAAA" w:rsidR="002B73D7" w:rsidRDefault="002B73D7" w:rsidP="002B73D7">
      <w:pPr>
        <w:pStyle w:val="BodyText"/>
      </w:pPr>
      <w:r>
        <w:t>P</w:t>
      </w:r>
      <w:r w:rsidRPr="00AC7E6E">
        <w:t xml:space="preserve">rojects </w:t>
      </w:r>
      <w:r>
        <w:t xml:space="preserve">had typically been delivering their activities predominantly online, due to the pandemic restricting face-to-face interactions. </w:t>
      </w:r>
      <w:r w:rsidRPr="006248F6">
        <w:t xml:space="preserve">Project leads found that delivering activities online presented technological issues for some participants and sometimes limited rapport. This was particularly the case for </w:t>
      </w:r>
      <w:r>
        <w:t>certain</w:t>
      </w:r>
      <w:r w:rsidRPr="006248F6">
        <w:t xml:space="preserve"> young people, for whom face-to-face activities were felt to be better suited to their learning styles. For example, a project working with </w:t>
      </w:r>
      <w:r>
        <w:t>Special Educational Needs and Disabilities (</w:t>
      </w:r>
      <w:r w:rsidRPr="006248F6">
        <w:t>SEND</w:t>
      </w:r>
      <w:r>
        <w:t>)</w:t>
      </w:r>
      <w:r w:rsidRPr="006248F6">
        <w:t xml:space="preserve"> young people planned to move to face-to-face </w:t>
      </w:r>
      <w:r>
        <w:t>delivery</w:t>
      </w:r>
      <w:r w:rsidRPr="006248F6">
        <w:t xml:space="preserve"> when they could, because online interactions limited how well young people could recognise and understand the verbal and non-verbal cues of their peers.</w:t>
      </w:r>
    </w:p>
    <w:p w14:paraId="7EA47748" w14:textId="69F56D90" w:rsidR="00F346A4" w:rsidRPr="006248F6" w:rsidRDefault="00F346A4" w:rsidP="002B73D7">
      <w:pPr>
        <w:pStyle w:val="BodyText"/>
      </w:pPr>
      <w:r>
        <w:t xml:space="preserve">A less common activity delivery challenge was around the pace of delivering activities. Some project leads talked about </w:t>
      </w:r>
      <w:r w:rsidR="00C50AFE">
        <w:t>regularly revising</w:t>
      </w:r>
      <w:r>
        <w:t xml:space="preserve"> their intended </w:t>
      </w:r>
      <w:r w:rsidR="00C50AFE">
        <w:t xml:space="preserve">delivery plan and timescales once delivery started and they had a better understanding of the needs of the participating young people. Some young people needed more sessions and one-to-one support to engage how the project staff hoped, and this required adapting their delivery approach so it remained youth led. </w:t>
      </w:r>
    </w:p>
    <w:p w14:paraId="0CDC5156" w14:textId="5D5C578D" w:rsidR="00A25D5D" w:rsidRDefault="00AE6E5D" w:rsidP="00A25D5D">
      <w:pPr>
        <w:pStyle w:val="Heading1"/>
      </w:pPr>
      <w:r>
        <w:t xml:space="preserve">Conclusions, lessons learned </w:t>
      </w:r>
      <w:r w:rsidR="00A25D5D">
        <w:t>and next steps</w:t>
      </w:r>
    </w:p>
    <w:p w14:paraId="5F4E6BB0" w14:textId="66479FC1" w:rsidR="00AE6E5D" w:rsidRDefault="0021497C" w:rsidP="0021497C">
      <w:pPr>
        <w:pStyle w:val="BodyText"/>
      </w:pPr>
      <w:r>
        <w:t>This summary discussed the delivery journey of projects in their first six months of receiving #iwill funding</w:t>
      </w:r>
      <w:r w:rsidR="005435FC">
        <w:t xml:space="preserve"> and provides early evidence on the impact of the Co-op Foundation’s #iwill funded projects on young people and the wider communities projects are based. Projects were established in the context of the COVID-19 pandemic, with social distancing restrictions greatly influencing their ability to deliver their intended projects to their original timescales. The Round 1 projects included in this summary have set-up and recruited young people, with some also underway with delivering their social action projects.</w:t>
      </w:r>
      <w:r w:rsidR="008C47E5">
        <w:t xml:space="preserve"> </w:t>
      </w:r>
    </w:p>
    <w:p w14:paraId="17D2A6E2" w14:textId="0BE1398D" w:rsidR="00ED112E" w:rsidRDefault="006C3F8D" w:rsidP="00132291">
      <w:pPr>
        <w:pStyle w:val="BodyText"/>
      </w:pPr>
      <w:r>
        <w:t>Of the outcomes intended to be achieved by six months, participation and lived experience have been met</w:t>
      </w:r>
      <w:r w:rsidR="00ED112E">
        <w:t>, and most projects report having helped young people to develop communication, teamwork and planning skills</w:t>
      </w:r>
      <w:r>
        <w:t xml:space="preserve">. </w:t>
      </w:r>
      <w:r w:rsidR="00AE6E5D">
        <w:t>There is less evidence of some outcomes the Co-op had anticipated all projects would achieve six months into delivery that projects should reflect on whether and how they can bring these about and evidence them. These are</w:t>
      </w:r>
      <w:r>
        <w:t xml:space="preserve"> </w:t>
      </w:r>
      <w:r w:rsidR="00AE6E5D">
        <w:t>b</w:t>
      </w:r>
      <w:r w:rsidR="00ED112E">
        <w:t>uilding resilience</w:t>
      </w:r>
      <w:r w:rsidR="00C50AFE">
        <w:t xml:space="preserve"> (and</w:t>
      </w:r>
      <w:r w:rsidR="00ED112E">
        <w:t xml:space="preserve"> not restricting th</w:t>
      </w:r>
      <w:r w:rsidR="00C50AFE">
        <w:t xml:space="preserve">is outcome </w:t>
      </w:r>
      <w:r w:rsidR="00ED112E">
        <w:t>focus to improved mental health</w:t>
      </w:r>
      <w:r w:rsidR="00C50AFE">
        <w:t>)</w:t>
      </w:r>
      <w:r w:rsidR="00AE6E5D">
        <w:t>; f</w:t>
      </w:r>
      <w:r w:rsidR="00ED112E">
        <w:t>eel</w:t>
      </w:r>
      <w:r w:rsidR="00514E82">
        <w:t>ing</w:t>
      </w:r>
      <w:r w:rsidR="00ED112E">
        <w:t xml:space="preserve"> part of a wider community</w:t>
      </w:r>
      <w:r w:rsidR="00AE6E5D">
        <w:t>; and g</w:t>
      </w:r>
      <w:r w:rsidR="00ED112E">
        <w:t>ain</w:t>
      </w:r>
      <w:r w:rsidR="00514E82">
        <w:t>ing</w:t>
      </w:r>
      <w:r w:rsidR="00ED112E">
        <w:t xml:space="preserve"> peer support skills</w:t>
      </w:r>
      <w:r w:rsidR="00AE6E5D">
        <w:t>. The latter two may emerge at the end of Year 1, once all projects are well underway with</w:t>
      </w:r>
      <w:r w:rsidR="00C50AFE">
        <w:t xml:space="preserve"> youth social action </w:t>
      </w:r>
      <w:r w:rsidR="00AE6E5D">
        <w:t>delivery.</w:t>
      </w:r>
    </w:p>
    <w:p w14:paraId="2B453843" w14:textId="65C1408B" w:rsidR="00ED112E" w:rsidRDefault="005435FC" w:rsidP="00132291">
      <w:pPr>
        <w:pStyle w:val="BodyText"/>
      </w:pPr>
      <w:r>
        <w:t>It is too early in project delivery to comment on outcomes</w:t>
      </w:r>
      <w:r w:rsidR="006C3F8D">
        <w:t xml:space="preserve"> intended to be achieved in two-years</w:t>
      </w:r>
      <w:r>
        <w:t xml:space="preserve">, </w:t>
      </w:r>
      <w:r w:rsidR="00C50AFE">
        <w:t>though there is early evidence that some projects are on track to achieve these. P</w:t>
      </w:r>
      <w:r w:rsidR="00ED112E">
        <w:t xml:space="preserve">rojects should reflect on how they will bring out those young people and community outcomes and ensure they have the </w:t>
      </w:r>
      <w:r w:rsidR="00AE6E5D">
        <w:t>mechanisms</w:t>
      </w:r>
      <w:r w:rsidR="00ED112E">
        <w:t xml:space="preserve"> in place to evidence </w:t>
      </w:r>
      <w:r w:rsidR="00AE6E5D">
        <w:t>this.</w:t>
      </w:r>
      <w:r w:rsidR="00C50AFE">
        <w:t xml:space="preserve"> </w:t>
      </w:r>
    </w:p>
    <w:p w14:paraId="092F3EB5" w14:textId="77777777" w:rsidR="00CC6832" w:rsidRDefault="00CC6832">
      <w:r>
        <w:br w:type="page"/>
      </w:r>
    </w:p>
    <w:p w14:paraId="32709491" w14:textId="06C330AE" w:rsidR="007A23F0" w:rsidRDefault="007A23F0" w:rsidP="0021497C">
      <w:pPr>
        <w:pStyle w:val="BodyText"/>
      </w:pPr>
      <w:r>
        <w:lastRenderedPageBreak/>
        <w:t xml:space="preserve">Projects have faced considerable challenges in setting up and delivering their project in a time of unprecedented change and uncertainty. There are key lessons for project delivery current and future projects may wish to consider going forward. </w:t>
      </w:r>
      <w:r w:rsidR="00844DB2">
        <w:t xml:space="preserve">The Co-op </w:t>
      </w:r>
      <w:r w:rsidR="00C50AFE">
        <w:t xml:space="preserve">Foundation </w:t>
      </w:r>
      <w:r w:rsidR="00844DB2">
        <w:t xml:space="preserve">may also wish to reflect on these when considering Year 2 funding decisions. </w:t>
      </w:r>
      <w:r>
        <w:t xml:space="preserve">These </w:t>
      </w:r>
      <w:r w:rsidR="00AE6E5D">
        <w:t>are:</w:t>
      </w:r>
    </w:p>
    <w:tbl>
      <w:tblPr>
        <w:tblStyle w:val="GridTable1Light-Accent1"/>
        <w:tblW w:w="9209" w:type="dxa"/>
        <w:tblLook w:val="04A0" w:firstRow="1" w:lastRow="0" w:firstColumn="1" w:lastColumn="0" w:noHBand="0" w:noVBand="1"/>
      </w:tblPr>
      <w:tblGrid>
        <w:gridCol w:w="1383"/>
        <w:gridCol w:w="7826"/>
      </w:tblGrid>
      <w:tr w:rsidR="00FD3C58" w14:paraId="5005B634" w14:textId="77777777" w:rsidTr="00132291">
        <w:trPr>
          <w:cnfStyle w:val="100000000000" w:firstRow="1" w:lastRow="0" w:firstColumn="0" w:lastColumn="0" w:oddVBand="0" w:evenVBand="0" w:oddHBand="0" w:evenHBand="0" w:firstRowFirstColumn="0" w:firstRowLastColumn="0" w:lastRowFirstColumn="0" w:lastRowLastColumn="0"/>
          <w:trHeight w:val="2826"/>
        </w:trPr>
        <w:tc>
          <w:tcPr>
            <w:cnfStyle w:val="001000000000" w:firstRow="0" w:lastRow="0" w:firstColumn="1" w:lastColumn="0" w:oddVBand="0" w:evenVBand="0" w:oddHBand="0" w:evenHBand="0" w:firstRowFirstColumn="0" w:firstRowLastColumn="0" w:lastRowFirstColumn="0" w:lastRowLastColumn="0"/>
            <w:tcW w:w="1383" w:type="dxa"/>
          </w:tcPr>
          <w:p w14:paraId="6D888C8E" w14:textId="25C424A2" w:rsidR="00FD3C58" w:rsidRDefault="00FD3C58" w:rsidP="00132291">
            <w:pPr>
              <w:pStyle w:val="BodyText"/>
              <w:spacing w:after="0" w:line="240" w:lineRule="auto"/>
            </w:pPr>
            <w:r>
              <w:t>Set-up</w:t>
            </w:r>
          </w:p>
        </w:tc>
        <w:tc>
          <w:tcPr>
            <w:tcW w:w="7826" w:type="dxa"/>
          </w:tcPr>
          <w:p w14:paraId="08917978" w14:textId="760F227B" w:rsidR="00FD3C58" w:rsidRPr="00132291" w:rsidRDefault="00FD3C58">
            <w:pPr>
              <w:pStyle w:val="ListParagraph"/>
              <w:numPr>
                <w:ilvl w:val="0"/>
                <w:numId w:val="56"/>
              </w:num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132291">
              <w:rPr>
                <w:rFonts w:cs="Arial"/>
                <w:b w:val="0"/>
                <w:bCs w:val="0"/>
                <w:szCs w:val="20"/>
              </w:rPr>
              <w:t xml:space="preserve">Leverage existing relationships and networks where possible; and minimise burden on these organisations by considering timing and relevant individual who </w:t>
            </w:r>
            <w:r w:rsidR="00C50AFE">
              <w:rPr>
                <w:rFonts w:cs="Arial"/>
                <w:b w:val="0"/>
                <w:bCs w:val="0"/>
                <w:szCs w:val="20"/>
              </w:rPr>
              <w:t>are</w:t>
            </w:r>
            <w:r w:rsidRPr="00132291">
              <w:rPr>
                <w:rFonts w:cs="Arial"/>
                <w:b w:val="0"/>
                <w:bCs w:val="0"/>
                <w:szCs w:val="20"/>
              </w:rPr>
              <w:t xml:space="preserve"> best placed to help. For partnership working with schools, busy periods such as the summer exam months need to be avoided. Additionally, non-teaching staff within schools may have more capacity to help with planning and set-up.</w:t>
            </w:r>
          </w:p>
          <w:p w14:paraId="106446DC" w14:textId="77777777" w:rsidR="008C74A8" w:rsidRPr="00132291" w:rsidRDefault="008C74A8" w:rsidP="00132291">
            <w:pPr>
              <w:pStyle w:val="ListParagraph"/>
              <w:cnfStyle w:val="100000000000" w:firstRow="1" w:lastRow="0" w:firstColumn="0" w:lastColumn="0" w:oddVBand="0" w:evenVBand="0" w:oddHBand="0" w:evenHBand="0" w:firstRowFirstColumn="0" w:firstRowLastColumn="0" w:lastRowFirstColumn="0" w:lastRowLastColumn="0"/>
              <w:rPr>
                <w:rFonts w:cs="Arial"/>
                <w:b w:val="0"/>
                <w:bCs w:val="0"/>
                <w:szCs w:val="20"/>
              </w:rPr>
            </w:pPr>
          </w:p>
          <w:p w14:paraId="69A544C1" w14:textId="18D0983B" w:rsidR="00FD3C58" w:rsidRPr="00132291" w:rsidRDefault="00FD3C58">
            <w:pPr>
              <w:pStyle w:val="ListParagraph"/>
              <w:numPr>
                <w:ilvl w:val="0"/>
                <w:numId w:val="56"/>
              </w:num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132291">
              <w:rPr>
                <w:rFonts w:cs="Arial"/>
                <w:b w:val="0"/>
                <w:bCs w:val="0"/>
                <w:szCs w:val="20"/>
              </w:rPr>
              <w:t xml:space="preserve">Involve young people in project design to ensure project delivery and materials are appropriate and young people feel a stronger sense of </w:t>
            </w:r>
            <w:r w:rsidR="00C50AFE">
              <w:rPr>
                <w:rFonts w:cs="Arial"/>
                <w:b w:val="0"/>
                <w:bCs w:val="0"/>
                <w:szCs w:val="20"/>
              </w:rPr>
              <w:t xml:space="preserve">project </w:t>
            </w:r>
            <w:r w:rsidRPr="00132291">
              <w:rPr>
                <w:rFonts w:cs="Arial"/>
                <w:b w:val="0"/>
                <w:bCs w:val="0"/>
                <w:szCs w:val="20"/>
              </w:rPr>
              <w:t>ownership.</w:t>
            </w:r>
          </w:p>
          <w:p w14:paraId="658C0C8C" w14:textId="77777777" w:rsidR="008C74A8" w:rsidRPr="00132291" w:rsidRDefault="008C74A8" w:rsidP="00132291">
            <w:pPr>
              <w:pStyle w:val="ListParagraph"/>
              <w:cnfStyle w:val="100000000000" w:firstRow="1" w:lastRow="0" w:firstColumn="0" w:lastColumn="0" w:oddVBand="0" w:evenVBand="0" w:oddHBand="0" w:evenHBand="0" w:firstRowFirstColumn="0" w:firstRowLastColumn="0" w:lastRowFirstColumn="0" w:lastRowLastColumn="0"/>
              <w:rPr>
                <w:rFonts w:cs="Arial"/>
                <w:b w:val="0"/>
                <w:bCs w:val="0"/>
                <w:szCs w:val="20"/>
              </w:rPr>
            </w:pPr>
          </w:p>
          <w:p w14:paraId="2A851F12" w14:textId="24C0AC9D" w:rsidR="00FD3C58" w:rsidRPr="00132291" w:rsidRDefault="00FD3C58" w:rsidP="00132291">
            <w:pPr>
              <w:pStyle w:val="ListParagraph"/>
              <w:numPr>
                <w:ilvl w:val="0"/>
                <w:numId w:val="56"/>
              </w:num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132291">
              <w:rPr>
                <w:rFonts w:cs="Arial"/>
                <w:b w:val="0"/>
                <w:bCs w:val="0"/>
                <w:szCs w:val="20"/>
              </w:rPr>
              <w:t xml:space="preserve">Provide upfront safeguarding training and support to staff around more sensitive issues; ideally facilitated by specialist external organisations or professionals. </w:t>
            </w:r>
          </w:p>
        </w:tc>
      </w:tr>
      <w:tr w:rsidR="00FD3C58" w14:paraId="1517CC5E" w14:textId="77777777" w:rsidTr="00132291">
        <w:trPr>
          <w:trHeight w:val="1071"/>
        </w:trPr>
        <w:tc>
          <w:tcPr>
            <w:cnfStyle w:val="001000000000" w:firstRow="0" w:lastRow="0" w:firstColumn="1" w:lastColumn="0" w:oddVBand="0" w:evenVBand="0" w:oddHBand="0" w:evenHBand="0" w:firstRowFirstColumn="0" w:firstRowLastColumn="0" w:lastRowFirstColumn="0" w:lastRowLastColumn="0"/>
            <w:tcW w:w="1383" w:type="dxa"/>
          </w:tcPr>
          <w:p w14:paraId="062BB95E" w14:textId="6A5DF8EE" w:rsidR="00FD3C58" w:rsidRDefault="00FD3C58" w:rsidP="00132291">
            <w:pPr>
              <w:pStyle w:val="BodyText"/>
              <w:spacing w:after="0" w:line="240" w:lineRule="auto"/>
            </w:pPr>
            <w:r>
              <w:t>Recruitment</w:t>
            </w:r>
          </w:p>
        </w:tc>
        <w:tc>
          <w:tcPr>
            <w:tcW w:w="7826" w:type="dxa"/>
          </w:tcPr>
          <w:p w14:paraId="2702C54D" w14:textId="5485A3FE" w:rsidR="00FD3C58" w:rsidRPr="00132291" w:rsidRDefault="00FD3C58" w:rsidP="00132291">
            <w:pPr>
              <w:pStyle w:val="ListBullet"/>
              <w:ind w:left="770" w:right="616" w:hanging="425"/>
              <w:cnfStyle w:val="000000000000" w:firstRow="0" w:lastRow="0" w:firstColumn="0" w:lastColumn="0" w:oddVBand="0" w:evenVBand="0" w:oddHBand="0" w:evenHBand="0" w:firstRowFirstColumn="0" w:firstRowLastColumn="0" w:lastRowFirstColumn="0" w:lastRowLastColumn="0"/>
              <w:rPr>
                <w:rFonts w:cs="Arial"/>
                <w:szCs w:val="20"/>
              </w:rPr>
            </w:pPr>
            <w:r w:rsidRPr="00132291">
              <w:t>Use</w:t>
            </w:r>
            <w:r w:rsidR="00DF234D">
              <w:t xml:space="preserve"> many different</w:t>
            </w:r>
            <w:r w:rsidRPr="00132291">
              <w:t xml:space="preserve"> channels to identify and recruit target young people. This could include posting relevant content on </w:t>
            </w:r>
            <w:r w:rsidR="00DF234D">
              <w:t>relevant youth channels on I</w:t>
            </w:r>
            <w:r w:rsidRPr="00132291">
              <w:t>nstagram and Tik Tok</w:t>
            </w:r>
            <w:r w:rsidR="00132291">
              <w:t xml:space="preserve">, </w:t>
            </w:r>
            <w:r w:rsidRPr="00132291">
              <w:t>digital spaces where young people spend time, that are less likely to contribute to their ‘screen fatigue’</w:t>
            </w:r>
            <w:r w:rsidR="00132291">
              <w:t>;</w:t>
            </w:r>
            <w:r w:rsidRPr="00132291">
              <w:t xml:space="preserve"> taking referrals from teachers in schools </w:t>
            </w:r>
            <w:r w:rsidR="00DF234D">
              <w:t>and</w:t>
            </w:r>
            <w:r w:rsidRPr="00132291">
              <w:t xml:space="preserve"> leads in community organisations, to benefit from organisational knowledge as to who is most in need. This helps to ensure that as many young people are reached as possible (even during pandemic restrictions).</w:t>
            </w:r>
            <w:r w:rsidR="00DF234D">
              <w:t xml:space="preserve"> </w:t>
            </w:r>
          </w:p>
          <w:p w14:paraId="3057F2B7" w14:textId="75BCA0FE" w:rsidR="00FD3C58" w:rsidRPr="00132291" w:rsidRDefault="00FD3C58" w:rsidP="00132291">
            <w:pPr>
              <w:pStyle w:val="ListParagraph"/>
              <w:numPr>
                <w:ilvl w:val="0"/>
                <w:numId w:val="57"/>
              </w:numPr>
              <w:spacing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132291">
              <w:rPr>
                <w:rFonts w:cs="Arial"/>
                <w:szCs w:val="20"/>
              </w:rPr>
              <w:t>Consider recruiting through gatekeepers to lend legitimacy to a new project, especially when trying to recruit hard-to-reach groups; this could be an established and well-known youth or community organisati</w:t>
            </w:r>
            <w:r w:rsidR="00DF234D">
              <w:rPr>
                <w:rFonts w:cs="Arial"/>
                <w:szCs w:val="20"/>
              </w:rPr>
              <w:t>on, and young people, ‘</w:t>
            </w:r>
            <w:r w:rsidR="00DF234D">
              <w:t>snowballing’ from recruited young people to their peers.</w:t>
            </w:r>
          </w:p>
          <w:p w14:paraId="6E691FB5" w14:textId="77777777" w:rsidR="008C74A8" w:rsidRPr="00132291" w:rsidRDefault="008C74A8" w:rsidP="00132291">
            <w:pPr>
              <w:pStyle w:val="ListParagraph"/>
              <w:cnfStyle w:val="000000000000" w:firstRow="0" w:lastRow="0" w:firstColumn="0" w:lastColumn="0" w:oddVBand="0" w:evenVBand="0" w:oddHBand="0" w:evenHBand="0" w:firstRowFirstColumn="0" w:firstRowLastColumn="0" w:lastRowFirstColumn="0" w:lastRowLastColumn="0"/>
              <w:rPr>
                <w:rFonts w:cs="Arial"/>
                <w:szCs w:val="20"/>
              </w:rPr>
            </w:pPr>
          </w:p>
          <w:p w14:paraId="051E22B7" w14:textId="55C3080D" w:rsidR="00FD3C58" w:rsidRPr="00132291" w:rsidRDefault="00FD3C58">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cs="Arial"/>
                <w:szCs w:val="20"/>
              </w:rPr>
            </w:pPr>
            <w:r w:rsidRPr="00132291">
              <w:rPr>
                <w:rFonts w:cs="Arial"/>
                <w:szCs w:val="20"/>
              </w:rPr>
              <w:t>Recruit project staff with backgrounds and experience</w:t>
            </w:r>
            <w:r w:rsidR="00514E82" w:rsidRPr="00132291">
              <w:rPr>
                <w:rFonts w:cs="Arial"/>
                <w:szCs w:val="20"/>
              </w:rPr>
              <w:t xml:space="preserve"> most relevant to the target young people and/or approach and topic of the project.</w:t>
            </w:r>
          </w:p>
          <w:p w14:paraId="5952939E" w14:textId="77777777" w:rsidR="008C74A8" w:rsidRPr="00132291" w:rsidRDefault="008C74A8" w:rsidP="00132291">
            <w:pPr>
              <w:pStyle w:val="ListParagraph"/>
              <w:cnfStyle w:val="000000000000" w:firstRow="0" w:lastRow="0" w:firstColumn="0" w:lastColumn="0" w:oddVBand="0" w:evenVBand="0" w:oddHBand="0" w:evenHBand="0" w:firstRowFirstColumn="0" w:firstRowLastColumn="0" w:lastRowFirstColumn="0" w:lastRowLastColumn="0"/>
              <w:rPr>
                <w:rFonts w:cs="Arial"/>
                <w:szCs w:val="20"/>
              </w:rPr>
            </w:pPr>
          </w:p>
          <w:p w14:paraId="567301C5" w14:textId="6BBA16A8" w:rsidR="008C74A8" w:rsidRPr="00132291" w:rsidRDefault="00FD3C58" w:rsidP="00132291">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cs="Arial"/>
                <w:szCs w:val="20"/>
              </w:rPr>
            </w:pPr>
            <w:r w:rsidRPr="00132291">
              <w:rPr>
                <w:rFonts w:cs="Arial"/>
                <w:szCs w:val="20"/>
              </w:rPr>
              <w:t xml:space="preserve">Blended delivery approaches </w:t>
            </w:r>
            <w:r w:rsidR="00DF234D">
              <w:rPr>
                <w:rFonts w:cs="Arial"/>
                <w:szCs w:val="20"/>
              </w:rPr>
              <w:t xml:space="preserve">of online and face-to-face, where feasible, </w:t>
            </w:r>
            <w:r w:rsidR="00D506D6">
              <w:rPr>
                <w:rFonts w:cs="Arial"/>
                <w:szCs w:val="20"/>
              </w:rPr>
              <w:t xml:space="preserve">may </w:t>
            </w:r>
            <w:r w:rsidR="00DF234D">
              <w:rPr>
                <w:rFonts w:cs="Arial"/>
                <w:szCs w:val="20"/>
              </w:rPr>
              <w:t xml:space="preserve">help widen participation to young people more geographically dispersed, and will help ‘future proof’ delivery in the face of further social distancing restrictions. </w:t>
            </w:r>
            <w:r w:rsidR="00D506D6">
              <w:rPr>
                <w:rFonts w:cs="Arial"/>
                <w:szCs w:val="20"/>
              </w:rPr>
              <w:t>For the former, this could be young people living outside the target community, who live in the target community but attend college or university elsewhere or who travel for some of the project.</w:t>
            </w:r>
          </w:p>
        </w:tc>
      </w:tr>
      <w:tr w:rsidR="00FD3C58" w14:paraId="330BE4D2" w14:textId="77777777" w:rsidTr="00132291">
        <w:trPr>
          <w:trHeight w:val="2415"/>
        </w:trPr>
        <w:tc>
          <w:tcPr>
            <w:cnfStyle w:val="001000000000" w:firstRow="0" w:lastRow="0" w:firstColumn="1" w:lastColumn="0" w:oddVBand="0" w:evenVBand="0" w:oddHBand="0" w:evenHBand="0" w:firstRowFirstColumn="0" w:firstRowLastColumn="0" w:lastRowFirstColumn="0" w:lastRowLastColumn="0"/>
            <w:tcW w:w="1383" w:type="dxa"/>
          </w:tcPr>
          <w:p w14:paraId="4D07F7E8" w14:textId="2804E90F" w:rsidR="00FD3C58" w:rsidRDefault="00FD3C58" w:rsidP="00132291">
            <w:pPr>
              <w:pStyle w:val="BodyText"/>
              <w:spacing w:after="0" w:line="240" w:lineRule="auto"/>
            </w:pPr>
            <w:r>
              <w:t>Delivering activities</w:t>
            </w:r>
          </w:p>
        </w:tc>
        <w:tc>
          <w:tcPr>
            <w:tcW w:w="7826" w:type="dxa"/>
          </w:tcPr>
          <w:p w14:paraId="170CDA1A" w14:textId="0F58B0AA" w:rsidR="007451E7" w:rsidRPr="00132291" w:rsidRDefault="00FD3C58" w:rsidP="00132291">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cs="Arial"/>
                <w:szCs w:val="20"/>
              </w:rPr>
            </w:pPr>
            <w:r w:rsidRPr="00132291">
              <w:rPr>
                <w:rFonts w:cs="Arial"/>
                <w:szCs w:val="20"/>
              </w:rPr>
              <w:t>Adapt delivery to different learning styles, offering options for young people to take part</w:t>
            </w:r>
            <w:r w:rsidR="00D506D6">
              <w:rPr>
                <w:rFonts w:cs="Arial"/>
                <w:szCs w:val="20"/>
              </w:rPr>
              <w:t xml:space="preserve"> in ways most comfortable to them</w:t>
            </w:r>
            <w:r w:rsidRPr="00132291">
              <w:rPr>
                <w:rFonts w:cs="Arial"/>
                <w:szCs w:val="20"/>
              </w:rPr>
              <w:t>. This could be via breakout rooms, or one-to-one sessions, providing support through websites and chat</w:t>
            </w:r>
            <w:r w:rsidR="00D506D6">
              <w:rPr>
                <w:rFonts w:cs="Arial"/>
                <w:szCs w:val="20"/>
              </w:rPr>
              <w:t xml:space="preserve">, and possible options for face-to-face interaction. </w:t>
            </w:r>
            <w:r w:rsidR="00D506D6">
              <w:rPr>
                <w:rFonts w:cs="Arial"/>
                <w:szCs w:val="20"/>
              </w:rPr>
              <w:br/>
            </w:r>
          </w:p>
          <w:p w14:paraId="68CEBBE3" w14:textId="76A0E418" w:rsidR="008C74A8" w:rsidRPr="00132291" w:rsidRDefault="00D506D6" w:rsidP="00132291">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cs="Arial"/>
                <w:szCs w:val="20"/>
              </w:rPr>
            </w:pPr>
            <w:r w:rsidRPr="00132291">
              <w:rPr>
                <w:rFonts w:cs="Arial"/>
                <w:szCs w:val="20"/>
              </w:rPr>
              <w:t>Shar</w:t>
            </w:r>
            <w:r>
              <w:rPr>
                <w:rFonts w:cs="Arial"/>
                <w:szCs w:val="20"/>
              </w:rPr>
              <w:t>e</w:t>
            </w:r>
            <w:r w:rsidRPr="00132291">
              <w:rPr>
                <w:rFonts w:cs="Arial"/>
                <w:szCs w:val="20"/>
              </w:rPr>
              <w:t xml:space="preserve"> </w:t>
            </w:r>
            <w:r w:rsidR="00FD3C58" w:rsidRPr="00132291">
              <w:rPr>
                <w:rFonts w:cs="Arial"/>
                <w:szCs w:val="20"/>
              </w:rPr>
              <w:t>session plans</w:t>
            </w:r>
            <w:r w:rsidRPr="00132291">
              <w:rPr>
                <w:rFonts w:cs="Arial"/>
                <w:szCs w:val="20"/>
              </w:rPr>
              <w:t xml:space="preserve"> to young people</w:t>
            </w:r>
            <w:r w:rsidR="00FD3C58" w:rsidRPr="00132291">
              <w:rPr>
                <w:rFonts w:cs="Arial"/>
                <w:szCs w:val="20"/>
              </w:rPr>
              <w:t xml:space="preserve"> in advance </w:t>
            </w:r>
            <w:r w:rsidRPr="00132291">
              <w:rPr>
                <w:rFonts w:cs="Arial"/>
                <w:szCs w:val="20"/>
              </w:rPr>
              <w:t>of sessions t</w:t>
            </w:r>
            <w:r w:rsidR="00FD3C58" w:rsidRPr="00132291">
              <w:rPr>
                <w:rFonts w:cs="Arial"/>
                <w:szCs w:val="20"/>
              </w:rPr>
              <w:t xml:space="preserve">o help </w:t>
            </w:r>
            <w:r w:rsidRPr="00132291">
              <w:rPr>
                <w:rFonts w:cs="Arial"/>
                <w:szCs w:val="20"/>
              </w:rPr>
              <w:t xml:space="preserve">those </w:t>
            </w:r>
            <w:r w:rsidR="00FD3C58" w:rsidRPr="00132291">
              <w:rPr>
                <w:rFonts w:cs="Arial"/>
                <w:szCs w:val="20"/>
              </w:rPr>
              <w:t>who need</w:t>
            </w:r>
            <w:r w:rsidRPr="00132291">
              <w:rPr>
                <w:rFonts w:cs="Arial"/>
                <w:szCs w:val="20"/>
              </w:rPr>
              <w:t xml:space="preserve"> time to consider the topic and prepare their thoughts, so they can feel better able to contribute to sessions.</w:t>
            </w:r>
            <w:r w:rsidR="00FD3C58" w:rsidRPr="00132291">
              <w:rPr>
                <w:rFonts w:cs="Arial"/>
                <w:szCs w:val="20"/>
              </w:rPr>
              <w:t xml:space="preserve"> </w:t>
            </w:r>
            <w:r>
              <w:rPr>
                <w:rFonts w:cs="Arial"/>
                <w:szCs w:val="20"/>
              </w:rPr>
              <w:br/>
            </w:r>
          </w:p>
          <w:p w14:paraId="45BE5D3E" w14:textId="7F9D2ECA" w:rsidR="00FD3C58" w:rsidRPr="00132291" w:rsidRDefault="00FD3C58" w:rsidP="00132291">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cs="Arial"/>
                <w:szCs w:val="20"/>
              </w:rPr>
            </w:pPr>
            <w:r w:rsidRPr="00132291">
              <w:rPr>
                <w:rFonts w:cs="Arial"/>
                <w:szCs w:val="20"/>
              </w:rPr>
              <w:t>Identify potentially sensitive or emotionally intense periods of project activity and provide proactive support around wellbeing to staff at these times</w:t>
            </w:r>
            <w:r w:rsidR="00D506D6">
              <w:rPr>
                <w:rFonts w:cs="Arial"/>
                <w:szCs w:val="20"/>
              </w:rPr>
              <w:t>.</w:t>
            </w:r>
          </w:p>
        </w:tc>
      </w:tr>
    </w:tbl>
    <w:p w14:paraId="7A6A72D0" w14:textId="77777777" w:rsidR="00FD3C58" w:rsidRDefault="00FD3C58" w:rsidP="00132291">
      <w:pPr>
        <w:pStyle w:val="BodyText"/>
        <w:spacing w:after="0" w:line="240" w:lineRule="auto"/>
      </w:pPr>
    </w:p>
    <w:p w14:paraId="57134C74" w14:textId="77777777" w:rsidR="00A25D5D" w:rsidRPr="00132291" w:rsidRDefault="00A25D5D" w:rsidP="00A25D5D">
      <w:pPr>
        <w:pStyle w:val="Heading2"/>
      </w:pPr>
      <w:r w:rsidRPr="00132291">
        <w:lastRenderedPageBreak/>
        <w:t>Next steps</w:t>
      </w:r>
    </w:p>
    <w:p w14:paraId="4D9CA29E" w14:textId="0A626DA3" w:rsidR="00844DB2" w:rsidRDefault="00844DB2" w:rsidP="00A25D5D">
      <w:pPr>
        <w:pStyle w:val="BodyText"/>
      </w:pPr>
      <w:r>
        <w:t xml:space="preserve">The evaluation team will discuss with </w:t>
      </w:r>
      <w:r w:rsidR="00D506D6">
        <w:t xml:space="preserve">the </w:t>
      </w:r>
      <w:r>
        <w:t>Co-op</w:t>
      </w:r>
      <w:r w:rsidR="00D506D6">
        <w:t xml:space="preserve"> Foundation</w:t>
      </w:r>
      <w:r>
        <w:t xml:space="preserve"> the implications of these findings on the evaluation design with the view to refine</w:t>
      </w:r>
      <w:r w:rsidR="000E1C41">
        <w:t xml:space="preserve"> </w:t>
      </w:r>
      <w:r>
        <w:t xml:space="preserve">the monitoring form guidance so it supports all projects to evidence their effect on young people and the wider community. </w:t>
      </w:r>
      <w:r w:rsidR="000E1C41">
        <w:t>This will be circulated to all projects.</w:t>
      </w:r>
    </w:p>
    <w:p w14:paraId="4C9EE962" w14:textId="5C54291A" w:rsidR="000E1C41" w:rsidRPr="00132291" w:rsidRDefault="000E1C41" w:rsidP="00A25D5D">
      <w:pPr>
        <w:pStyle w:val="BodyText"/>
      </w:pPr>
      <w:r>
        <w:t xml:space="preserve">The below are some upcoming key </w:t>
      </w:r>
      <w:r w:rsidRPr="00132291">
        <w:t>dates for the evaluation:</w:t>
      </w:r>
    </w:p>
    <w:p w14:paraId="23B9C195" w14:textId="617331F0" w:rsidR="000E1C41" w:rsidRPr="00132291" w:rsidRDefault="00D506D6" w:rsidP="00132291">
      <w:pPr>
        <w:pStyle w:val="ListBullet2"/>
      </w:pPr>
      <w:bookmarkStart w:id="1" w:name="_Hlk83839172"/>
      <w:r w:rsidRPr="00132291">
        <w:rPr>
          <w:b/>
          <w:bCs/>
        </w:rPr>
        <w:t>Follow-up discussions with p</w:t>
      </w:r>
      <w:r w:rsidR="000E1C41" w:rsidRPr="00132291">
        <w:rPr>
          <w:b/>
          <w:bCs/>
        </w:rPr>
        <w:t>roject lead</w:t>
      </w:r>
      <w:r w:rsidRPr="00132291">
        <w:rPr>
          <w:b/>
          <w:bCs/>
        </w:rPr>
        <w:t>, about ongoing project delivery and emerging outcomes</w:t>
      </w:r>
      <w:r w:rsidR="000E1C41" w:rsidRPr="00132291">
        <w:t>:</w:t>
      </w:r>
      <w:r w:rsidR="00E754DC" w:rsidRPr="00132291">
        <w:t xml:space="preserve"> </w:t>
      </w:r>
      <w:r w:rsidR="001D4097">
        <w:t>Scheduling</w:t>
      </w:r>
      <w:r w:rsidR="00AE1994" w:rsidRPr="00132291">
        <w:t xml:space="preserve"> to begin in December 2021, with </w:t>
      </w:r>
      <w:r w:rsidR="001D4097">
        <w:t>the aim for discussions to take place across Ja</w:t>
      </w:r>
      <w:r w:rsidR="00AE1994" w:rsidRPr="00132291">
        <w:t>nuary and February 2022.</w:t>
      </w:r>
    </w:p>
    <w:p w14:paraId="357F37B8" w14:textId="1B4FB15C" w:rsidR="000E1C41" w:rsidRPr="00132291" w:rsidRDefault="001D4097" w:rsidP="00132291">
      <w:pPr>
        <w:pStyle w:val="ListBullet2"/>
      </w:pPr>
      <w:r w:rsidRPr="00132291">
        <w:rPr>
          <w:b/>
          <w:bCs/>
        </w:rPr>
        <w:t xml:space="preserve">Analysis of monitoring forms for </w:t>
      </w:r>
      <w:r>
        <w:rPr>
          <w:b/>
          <w:bCs/>
        </w:rPr>
        <w:t>all of</w:t>
      </w:r>
      <w:r w:rsidRPr="00132291">
        <w:rPr>
          <w:b/>
          <w:bCs/>
        </w:rPr>
        <w:t xml:space="preserve"> Year 1:</w:t>
      </w:r>
      <w:r>
        <w:t xml:space="preserve"> </w:t>
      </w:r>
      <w:r w:rsidR="00AE1994" w:rsidRPr="00132291">
        <w:t>March 2022</w:t>
      </w:r>
    </w:p>
    <w:p w14:paraId="3B6ABB1B" w14:textId="10C10C06" w:rsidR="00CF3586" w:rsidRDefault="000E1C41" w:rsidP="00132291">
      <w:pPr>
        <w:pStyle w:val="ListBullet2"/>
      </w:pPr>
      <w:r w:rsidRPr="00132291">
        <w:rPr>
          <w:b/>
          <w:bCs/>
        </w:rPr>
        <w:t>Next key learnings summary</w:t>
      </w:r>
      <w:r w:rsidR="001D4097">
        <w:rPr>
          <w:b/>
          <w:bCs/>
        </w:rPr>
        <w:t xml:space="preserve"> shared</w:t>
      </w:r>
      <w:r w:rsidRPr="00132291">
        <w:t>:</w:t>
      </w:r>
      <w:r w:rsidR="00AE1994" w:rsidRPr="00132291">
        <w:t xml:space="preserve"> April 2022</w:t>
      </w:r>
      <w:bookmarkEnd w:id="1"/>
    </w:p>
    <w:p w14:paraId="1673BE07" w14:textId="0004D230" w:rsidR="006870DA" w:rsidRDefault="001D4097" w:rsidP="005A600F">
      <w:pPr>
        <w:spacing w:line="288" w:lineRule="auto"/>
      </w:pPr>
      <w:r>
        <w:t>If projects have any questions about the evaluation or have additional evidence to share to support our understanding of how #iwill funded projects are benefiting young people and their communities, please get in touch, on IWillResearch@iffresearch.com.</w:t>
      </w:r>
    </w:p>
    <w:p w14:paraId="4DAF0948" w14:textId="77777777" w:rsidR="006F6516" w:rsidRDefault="006F6516">
      <w:pPr>
        <w:rPr>
          <w:rFonts w:eastAsiaTheme="majorEastAsia" w:cstheme="majorBidi"/>
          <w:bCs/>
          <w:color w:val="439539" w:themeColor="accent2"/>
          <w:sz w:val="24"/>
          <w:szCs w:val="26"/>
        </w:rPr>
      </w:pPr>
      <w:r>
        <w:br w:type="page"/>
      </w:r>
    </w:p>
    <w:p w14:paraId="5EB23F31" w14:textId="77777777" w:rsidR="0084774A" w:rsidRDefault="0084774A" w:rsidP="006F6516">
      <w:pPr>
        <w:pStyle w:val="Heading2"/>
        <w:sectPr w:rsidR="0084774A" w:rsidSect="0084774A">
          <w:headerReference w:type="even" r:id="rId18"/>
          <w:headerReference w:type="default" r:id="rId19"/>
          <w:footerReference w:type="even" r:id="rId20"/>
          <w:headerReference w:type="first" r:id="rId21"/>
          <w:footerReference w:type="first" r:id="rId22"/>
          <w:footnotePr>
            <w:numRestart w:val="eachSect"/>
          </w:footnotePr>
          <w:type w:val="continuous"/>
          <w:pgSz w:w="11899" w:h="16838" w:code="9"/>
          <w:pgMar w:top="992" w:right="839" w:bottom="1304" w:left="1701" w:header="567" w:footer="567" w:gutter="0"/>
          <w:cols w:space="708"/>
          <w:docGrid w:linePitch="272"/>
        </w:sectPr>
      </w:pPr>
    </w:p>
    <w:p w14:paraId="5F784F32" w14:textId="28E11A14" w:rsidR="006F6516" w:rsidRDefault="006F6516" w:rsidP="006F6516">
      <w:pPr>
        <w:pStyle w:val="Heading2"/>
      </w:pPr>
      <w:r>
        <w:lastRenderedPageBreak/>
        <w:t xml:space="preserve">Theory of Change – Bereavement </w:t>
      </w:r>
    </w:p>
    <w:p w14:paraId="72277CBE" w14:textId="337253F1" w:rsidR="006870DA" w:rsidRDefault="006870DA" w:rsidP="006870DA">
      <w:r>
        <w:rPr>
          <w:noProof/>
        </w:rPr>
        <w:drawing>
          <wp:inline distT="0" distB="0" distL="0" distR="0" wp14:anchorId="1B8F7E54" wp14:editId="3C1AF688">
            <wp:extent cx="8124825" cy="5488862"/>
            <wp:effectExtent l="0" t="0" r="0" b="0"/>
            <wp:docPr id="4" name="Picture 4" descr="Graphical user interface,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email, websi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5650" cy="5489419"/>
                    </a:xfrm>
                    <a:prstGeom prst="rect">
                      <a:avLst/>
                    </a:prstGeom>
                    <a:noFill/>
                  </pic:spPr>
                </pic:pic>
              </a:graphicData>
            </a:graphic>
          </wp:inline>
        </w:drawing>
      </w:r>
    </w:p>
    <w:p w14:paraId="03EC850E" w14:textId="7146114A" w:rsidR="006F6516" w:rsidRDefault="006F6516" w:rsidP="006F6516">
      <w:pPr>
        <w:pStyle w:val="Heading2"/>
      </w:pPr>
      <w:r>
        <w:lastRenderedPageBreak/>
        <w:t xml:space="preserve">Theory of Change – School Transitions </w:t>
      </w:r>
    </w:p>
    <w:p w14:paraId="08D7E905" w14:textId="78FBEFCC" w:rsidR="006870DA" w:rsidRDefault="006870DA" w:rsidP="006870DA">
      <w:pPr>
        <w:rPr>
          <w:noProof/>
        </w:rPr>
      </w:pPr>
      <w:r>
        <w:rPr>
          <w:noProof/>
        </w:rPr>
        <w:drawing>
          <wp:inline distT="0" distB="0" distL="0" distR="0" wp14:anchorId="4C63985D" wp14:editId="3532CD54">
            <wp:extent cx="7648575" cy="5127297"/>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71548" cy="5142697"/>
                    </a:xfrm>
                    <a:prstGeom prst="rect">
                      <a:avLst/>
                    </a:prstGeom>
                    <a:noFill/>
                  </pic:spPr>
                </pic:pic>
              </a:graphicData>
            </a:graphic>
          </wp:inline>
        </w:drawing>
      </w:r>
    </w:p>
    <w:p w14:paraId="742B4E9B" w14:textId="3C7386EC" w:rsidR="003A6235" w:rsidRDefault="003A6235" w:rsidP="003A6235">
      <w:pPr>
        <w:rPr>
          <w:noProof/>
        </w:rPr>
      </w:pPr>
    </w:p>
    <w:p w14:paraId="5BCCA898" w14:textId="1D10FFCF" w:rsidR="003A6235" w:rsidRDefault="003A6235" w:rsidP="003A6235">
      <w:pPr>
        <w:pStyle w:val="Heading2"/>
      </w:pPr>
      <w:r>
        <w:lastRenderedPageBreak/>
        <w:t xml:space="preserve">Theory of Change – Community Spaces </w:t>
      </w:r>
    </w:p>
    <w:p w14:paraId="521DF39E" w14:textId="1CFFAA85" w:rsidR="006870DA" w:rsidRDefault="006870DA" w:rsidP="006870DA">
      <w:pPr>
        <w:rPr>
          <w:noProof/>
        </w:rPr>
      </w:pPr>
      <w:r>
        <w:rPr>
          <w:noProof/>
        </w:rPr>
        <w:drawing>
          <wp:inline distT="0" distB="0" distL="0" distR="0" wp14:anchorId="5890183E" wp14:editId="291AA12C">
            <wp:extent cx="8053233" cy="5391150"/>
            <wp:effectExtent l="0" t="0" r="508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55506" cy="5392672"/>
                    </a:xfrm>
                    <a:prstGeom prst="rect">
                      <a:avLst/>
                    </a:prstGeom>
                    <a:noFill/>
                  </pic:spPr>
                </pic:pic>
              </a:graphicData>
            </a:graphic>
          </wp:inline>
        </w:drawing>
      </w:r>
    </w:p>
    <w:p w14:paraId="2F596C74" w14:textId="6C2FE29E" w:rsidR="006F6516" w:rsidRPr="003A6235" w:rsidRDefault="006F6516" w:rsidP="003A6235"/>
    <w:sectPr w:rsidR="006F6516" w:rsidRPr="003A6235" w:rsidSect="0084774A">
      <w:footnotePr>
        <w:numRestart w:val="eachSect"/>
      </w:footnotePr>
      <w:pgSz w:w="16838" w:h="11899" w:orient="landscape" w:code="9"/>
      <w:pgMar w:top="1701" w:right="992" w:bottom="839" w:left="1304" w:header="567"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56AB0" w14:textId="77777777" w:rsidR="007D74E5" w:rsidRDefault="007D74E5" w:rsidP="00B8314B">
      <w:r>
        <w:separator/>
      </w:r>
    </w:p>
    <w:p w14:paraId="419AC61E" w14:textId="77777777" w:rsidR="007D74E5" w:rsidRDefault="007D74E5"/>
  </w:endnote>
  <w:endnote w:type="continuationSeparator" w:id="0">
    <w:p w14:paraId="0361FC09" w14:textId="77777777" w:rsidR="007D74E5" w:rsidRDefault="007D74E5" w:rsidP="00B8314B">
      <w:r>
        <w:continuationSeparator/>
      </w:r>
    </w:p>
    <w:p w14:paraId="610E9A78" w14:textId="77777777" w:rsidR="007D74E5" w:rsidRDefault="007D74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277024"/>
      <w:docPartObj>
        <w:docPartGallery w:val="Page Numbers (Bottom of Page)"/>
        <w:docPartUnique/>
      </w:docPartObj>
    </w:sdtPr>
    <w:sdtEndPr>
      <w:rPr>
        <w:noProof/>
      </w:rPr>
    </w:sdtEndPr>
    <w:sdtContent>
      <w:p w14:paraId="75FD759D" w14:textId="6F629987" w:rsidR="00E23E62" w:rsidRDefault="00E23E62">
        <w:pPr>
          <w:pStyle w:val="Footer"/>
        </w:pPr>
        <w:r>
          <w:fldChar w:fldCharType="begin"/>
        </w:r>
        <w:r>
          <w:instrText xml:space="preserve"> PAGE   \* MERGEFORMAT </w:instrText>
        </w:r>
        <w:r>
          <w:fldChar w:fldCharType="separate"/>
        </w:r>
        <w:r>
          <w:rPr>
            <w:noProof/>
          </w:rPr>
          <w:t>2</w:t>
        </w:r>
        <w:r>
          <w:rPr>
            <w:noProof/>
          </w:rPr>
          <w:fldChar w:fldCharType="end"/>
        </w:r>
      </w:p>
    </w:sdtContent>
  </w:sdt>
  <w:p w14:paraId="03EF5106" w14:textId="649CFF5D" w:rsidR="00735528" w:rsidRPr="007005A4" w:rsidRDefault="00735528" w:rsidP="00D03C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6740" w14:textId="77777777" w:rsidR="00735528" w:rsidRDefault="00735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16895" w14:textId="77777777" w:rsidR="00735528" w:rsidRDefault="00735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C1B50" w14:textId="77777777" w:rsidR="007D74E5" w:rsidRDefault="007D74E5" w:rsidP="00B8314B">
      <w:r>
        <w:separator/>
      </w:r>
    </w:p>
    <w:p w14:paraId="5D30939E" w14:textId="77777777" w:rsidR="007D74E5" w:rsidRDefault="007D74E5"/>
  </w:footnote>
  <w:footnote w:type="continuationSeparator" w:id="0">
    <w:p w14:paraId="1ABE6CED" w14:textId="77777777" w:rsidR="007D74E5" w:rsidRDefault="007D74E5" w:rsidP="00B8314B">
      <w:r>
        <w:continuationSeparator/>
      </w:r>
    </w:p>
    <w:p w14:paraId="16657FA4" w14:textId="77777777" w:rsidR="007D74E5" w:rsidRDefault="007D74E5"/>
  </w:footnote>
  <w:footnote w:id="1">
    <w:p w14:paraId="3D4F2526" w14:textId="14988F35" w:rsidR="002B2214" w:rsidRPr="002B2214" w:rsidRDefault="002B2214">
      <w:pPr>
        <w:pStyle w:val="FootnoteText"/>
        <w:rPr>
          <w:lang w:val="en-US"/>
        </w:rPr>
      </w:pPr>
      <w:r>
        <w:rPr>
          <w:rStyle w:val="FootnoteReference"/>
        </w:rPr>
        <w:footnoteRef/>
      </w:r>
      <w:r>
        <w:t xml:space="preserve"> </w:t>
      </w:r>
      <w:r>
        <w:t>L</w:t>
      </w:r>
      <w:r w:rsidRPr="00E02EAA">
        <w:t>arger font is available upon request</w:t>
      </w:r>
      <w:r>
        <w:t>.</w:t>
      </w:r>
    </w:p>
  </w:footnote>
  <w:footnote w:id="2">
    <w:p w14:paraId="0EDA4FB1" w14:textId="77777777" w:rsidR="000956A6" w:rsidRPr="00D47874" w:rsidRDefault="000956A6" w:rsidP="000956A6">
      <w:pPr>
        <w:pStyle w:val="FootnoteText"/>
        <w:rPr>
          <w:lang w:val="en-US"/>
        </w:rPr>
      </w:pPr>
      <w:r>
        <w:rPr>
          <w:rStyle w:val="FootnoteReference"/>
        </w:rPr>
        <w:footnoteRef/>
      </w:r>
      <w:r>
        <w:t xml:space="preserve"> </w:t>
      </w:r>
      <w:hyperlink r:id="rId1" w:anchor=":~:text=The%20Lundy%20Model%20of%20Child%20Participation%2C%20by%20Professor,Young%20People%E2%80%99s%20Participation%20in%20Decision-Making%20%282015%20%E2%80%93%202020%29." w:history="1">
        <w:r w:rsidRPr="00464B59">
          <w:rPr>
            <w:rStyle w:val="Hyperlink"/>
            <w:rFonts w:cs="Arial"/>
            <w:sz w:val="20"/>
          </w:rPr>
          <w:t>Decision-making: children and young people's participation - gov.scot (www.gov.scot)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27B2" w14:textId="77777777" w:rsidR="00735528" w:rsidRPr="00D03C89" w:rsidRDefault="00735528" w:rsidP="00D03C89">
    <w:pPr>
      <w:ind w:left="-1078"/>
    </w:pPr>
    <w:r w:rsidRPr="003D7AED">
      <w:rPr>
        <w:noProof/>
      </w:rPr>
      <w:drawing>
        <wp:inline distT="0" distB="0" distL="0" distR="0" wp14:anchorId="6F70092E" wp14:editId="381D1024">
          <wp:extent cx="2155825" cy="587375"/>
          <wp:effectExtent l="0" t="0" r="0" b="0"/>
          <wp:docPr id="2" name="Picture 2" descr="C:\Users\chris_000\AppData\Local\Microsoft\Windows\INetCache\Content.Word\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_000\AppData\Local\Microsoft\Windows\INetCache\Content.Word\IFF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5873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DC03" w14:textId="77777777" w:rsidR="00735528" w:rsidRDefault="007355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4C42" w14:textId="43AC3B13" w:rsidR="00EA097C" w:rsidRPr="00735528" w:rsidRDefault="001801DA" w:rsidP="00735528">
    <w:pPr>
      <w:pStyle w:val="Header"/>
    </w:pPr>
    <w:r>
      <w:t xml:space="preserve">Co-op Foundation’s #iwill </w:t>
    </w:r>
    <w:r w:rsidR="00E23E62">
      <w:t>Fund</w:t>
    </w:r>
    <w:r>
      <w:t xml:space="preserve"> evaluation | Year 1 midterm 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0061" w14:textId="77777777" w:rsidR="00735528" w:rsidRDefault="007355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3C4C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5453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16FA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D261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5A46D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9A6A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2CD1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2E11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9E1F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0622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6226"/>
    <w:multiLevelType w:val="hybridMultilevel"/>
    <w:tmpl w:val="3AAEB0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26D4326"/>
    <w:multiLevelType w:val="hybridMultilevel"/>
    <w:tmpl w:val="96943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54697F"/>
    <w:multiLevelType w:val="hybridMultilevel"/>
    <w:tmpl w:val="16588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B475E8"/>
    <w:multiLevelType w:val="hybridMultilevel"/>
    <w:tmpl w:val="0C36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5208FB"/>
    <w:multiLevelType w:val="multilevel"/>
    <w:tmpl w:val="E61076A2"/>
    <w:styleLink w:val="JayeshNavinShahEasterEgg"/>
    <w:lvl w:ilvl="0">
      <w:start w:val="1"/>
      <w:numFmt w:val="none"/>
      <w:pStyle w:val="04ABodyText"/>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A9C398" w:themeColor="accent3"/>
      </w:rPr>
    </w:lvl>
    <w:lvl w:ilvl="2">
      <w:start w:val="1"/>
      <w:numFmt w:val="bullet"/>
      <w:lvlText w:val="−"/>
      <w:lvlJc w:val="left"/>
      <w:pPr>
        <w:ind w:left="851" w:hanging="284"/>
      </w:pPr>
      <w:rPr>
        <w:rFonts w:ascii="Segoe UI" w:hAnsi="Segoe UI" w:hint="default"/>
        <w:color w:val="A9C398" w:themeColor="accent3"/>
      </w:rPr>
    </w:lvl>
    <w:lvl w:ilvl="3">
      <w:start w:val="1"/>
      <w:numFmt w:val="bullet"/>
      <w:lvlRestart w:val="1"/>
      <w:lvlText w:val="▪"/>
      <w:lvlJc w:val="left"/>
      <w:pPr>
        <w:ind w:left="567" w:hanging="283"/>
      </w:pPr>
      <w:rPr>
        <w:rFonts w:ascii="Segoe UI" w:hAnsi="Segoe UI" w:hint="default"/>
        <w:b/>
        <w:i w:val="0"/>
        <w:color w:val="A9C398" w:themeColor="accent3"/>
      </w:rPr>
    </w:lvl>
    <w:lvl w:ilvl="4">
      <w:start w:val="1"/>
      <w:numFmt w:val="decimal"/>
      <w:lvlRestart w:val="1"/>
      <w:lvlText w:val="%5."/>
      <w:lvlJc w:val="left"/>
      <w:pPr>
        <w:ind w:left="567" w:hanging="283"/>
      </w:pPr>
      <w:rPr>
        <w:rFonts w:ascii="Segoe UI" w:hAnsi="Segoe UI" w:hint="default"/>
        <w:b/>
        <w:i w:val="0"/>
        <w:color w:val="A9C398" w:themeColor="accent3"/>
      </w:rPr>
    </w:lvl>
    <w:lvl w:ilvl="5">
      <w:start w:val="1"/>
      <w:numFmt w:val="lowerLetter"/>
      <w:pStyle w:val="06BNumberedList2ndlevel"/>
      <w:lvlText w:val="%6."/>
      <w:lvlJc w:val="left"/>
      <w:pPr>
        <w:ind w:left="851" w:hanging="284"/>
      </w:pPr>
      <w:rPr>
        <w:rFonts w:ascii="Segoe UI" w:hAnsi="Segoe UI" w:hint="default"/>
        <w:b/>
        <w:i w:val="0"/>
        <w:color w:val="A9C398" w:themeColor="accent3"/>
      </w:rPr>
    </w:lvl>
    <w:lvl w:ilvl="6">
      <w:start w:val="1"/>
      <w:numFmt w:val="decimal"/>
      <w:lvlRestart w:val="1"/>
      <w:lvlText w:val="%7."/>
      <w:lvlJc w:val="left"/>
      <w:pPr>
        <w:ind w:left="567" w:hanging="283"/>
      </w:pPr>
      <w:rPr>
        <w:rFonts w:ascii="Segoe UI" w:hAnsi="Segoe UI" w:hint="default"/>
        <w:b/>
        <w:i w:val="0"/>
        <w:color w:val="A9C398" w:themeColor="accent3"/>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A0E7421"/>
    <w:multiLevelType w:val="hybridMultilevel"/>
    <w:tmpl w:val="DA70B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0AD9512E"/>
    <w:multiLevelType w:val="multilevel"/>
    <w:tmpl w:val="C4464D20"/>
    <w:lvl w:ilvl="0">
      <w:start w:val="1"/>
      <w:numFmt w:val="bullet"/>
      <w:pStyle w:val="ListBullet"/>
      <w:lvlText w:val=""/>
      <w:lvlJc w:val="left"/>
      <w:pPr>
        <w:ind w:left="851" w:hanging="341"/>
      </w:pPr>
      <w:rPr>
        <w:rFonts w:ascii="Symbol" w:hAnsi="Symbol" w:hint="default"/>
        <w:color w:val="auto"/>
      </w:rPr>
    </w:lvl>
    <w:lvl w:ilvl="1">
      <w:start w:val="1"/>
      <w:numFmt w:val="bullet"/>
      <w:pStyle w:val="ListBullet2"/>
      <w:lvlText w:val=""/>
      <w:lvlJc w:val="left"/>
      <w:pPr>
        <w:tabs>
          <w:tab w:val="num" w:pos="851"/>
        </w:tabs>
        <w:ind w:left="1191" w:hanging="340"/>
      </w:pPr>
      <w:rPr>
        <w:rFonts w:ascii="Symbol" w:hAnsi="Symbol" w:hint="default"/>
        <w:color w:val="A6CE39" w:themeColor="background2"/>
      </w:rPr>
    </w:lvl>
    <w:lvl w:ilvl="2">
      <w:start w:val="1"/>
      <w:numFmt w:val="bullet"/>
      <w:lvlText w:val=""/>
      <w:lvlJc w:val="left"/>
      <w:pPr>
        <w:ind w:left="510" w:firstLine="511"/>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7" w15:restartNumberingAfterBreak="0">
    <w:nsid w:val="0FCB0E85"/>
    <w:multiLevelType w:val="hybridMultilevel"/>
    <w:tmpl w:val="7E9CC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911190"/>
    <w:multiLevelType w:val="multilevel"/>
    <w:tmpl w:val="56A2D806"/>
    <w:name w:val="IFF_Q_List_1222"/>
    <w:lvl w:ilvl="0">
      <w:start w:val="19"/>
      <w:numFmt w:val="upperLetter"/>
      <w:lvlText w:val="%1"/>
      <w:lvlJc w:val="left"/>
      <w:pPr>
        <w:tabs>
          <w:tab w:val="num" w:pos="539"/>
        </w:tabs>
        <w:ind w:left="539" w:hanging="539"/>
      </w:pPr>
      <w:rPr>
        <w:rFonts w:ascii="Arial" w:hAnsi="Arial" w:hint="default"/>
        <w:b w:val="0"/>
        <w:i w:val="0"/>
      </w:rPr>
    </w:lvl>
    <w:lvl w:ilvl="1">
      <w:start w:val="1"/>
      <w:numFmt w:val="decimal"/>
      <w:lvlText w:val="%1%2"/>
      <w:lvlJc w:val="left"/>
      <w:pPr>
        <w:tabs>
          <w:tab w:val="num" w:pos="539"/>
        </w:tabs>
        <w:ind w:left="539" w:hanging="539"/>
      </w:pPr>
      <w:rPr>
        <w:rFonts w:ascii="Arial" w:hAnsi="Arial" w:hint="default"/>
        <w:b w:val="0"/>
        <w:i w:val="0"/>
        <w:color w:val="131313"/>
        <w:sz w:val="20"/>
      </w:rPr>
    </w:lvl>
    <w:lvl w:ilvl="2">
      <w:start w:val="1"/>
      <w:numFmt w:val="lowerLetter"/>
      <w:lvlRestart w:val="0"/>
      <w:lvlText w:val="%1%2%3"/>
      <w:lvlJc w:val="left"/>
      <w:pPr>
        <w:tabs>
          <w:tab w:val="num" w:pos="539"/>
        </w:tabs>
        <w:ind w:left="539" w:hanging="539"/>
      </w:pPr>
      <w:rPr>
        <w:rFonts w:ascii="Arial" w:hAnsi="Arial" w:hint="default"/>
        <w:b w:val="0"/>
        <w:i w:val="0"/>
        <w:color w:val="131313"/>
      </w:rPr>
    </w:lvl>
    <w:lvl w:ilvl="3">
      <w:start w:val="1"/>
      <w:numFmt w:val="decimal"/>
      <w:lvlRestart w:val="0"/>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suff w:val="nothing"/>
      <w:lvlText w:val="%6"/>
      <w:lvlJc w:val="left"/>
      <w:pPr>
        <w:ind w:left="0" w:firstLine="0"/>
      </w:pPr>
      <w:rPr>
        <w:rFonts w:ascii="Arial" w:hAnsi="Arial" w:hint="default"/>
        <w:b w:val="0"/>
        <w:i w:val="0"/>
        <w:color w:val="131313"/>
        <w:sz w:val="20"/>
      </w:rPr>
    </w:lvl>
    <w:lvl w:ilvl="6">
      <w:start w:val="1"/>
      <w:numFmt w:val="none"/>
      <w:lvlRestart w:val="0"/>
      <w:lvlText w:val="%1%2Dum"/>
      <w:lvlJc w:val="left"/>
      <w:pPr>
        <w:tabs>
          <w:tab w:val="num" w:pos="720"/>
        </w:tabs>
        <w:ind w:left="539" w:hanging="539"/>
      </w:pPr>
      <w:rPr>
        <w:rFonts w:ascii="Arial" w:hAnsi="Arial" w:hint="default"/>
        <w:b w:val="0"/>
        <w:i w:val="0"/>
        <w:sz w:val="20"/>
      </w:rPr>
    </w:lvl>
    <w:lvl w:ilvl="7">
      <w:start w:val="1"/>
      <w:numFmt w:val="none"/>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22F4669"/>
    <w:multiLevelType w:val="hybridMultilevel"/>
    <w:tmpl w:val="E5245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A45582"/>
    <w:multiLevelType w:val="hybridMultilevel"/>
    <w:tmpl w:val="008A0E4E"/>
    <w:lvl w:ilvl="0" w:tplc="CD8E50A6">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78702F"/>
    <w:multiLevelType w:val="multilevel"/>
    <w:tmpl w:val="82C081B6"/>
    <w:lvl w:ilvl="0">
      <w:start w:val="1"/>
      <w:numFmt w:val="decimal"/>
      <w:pStyle w:val="Heading1"/>
      <w:lvlText w:val="%1"/>
      <w:lvlJc w:val="left"/>
      <w:pPr>
        <w:ind w:left="510" w:hanging="510"/>
      </w:pPr>
      <w:rPr>
        <w:rFonts w:hint="default"/>
      </w:rPr>
    </w:lvl>
    <w:lvl w:ilvl="1">
      <w:start w:val="1"/>
      <w:numFmt w:val="decimal"/>
      <w:pStyle w:val="Maintext"/>
      <w:lvlText w:val="%1.%2"/>
      <w:lvlJc w:val="left"/>
      <w:pPr>
        <w:ind w:left="510" w:hanging="510"/>
      </w:pPr>
      <w:rPr>
        <w:rFonts w:hint="default"/>
      </w:rPr>
    </w:lvl>
    <w:lvl w:ilvl="2">
      <w:start w:val="1"/>
      <w:numFmt w:val="decimal"/>
      <w:pStyle w:val="Maintextsubnumber"/>
      <w:lvlText w:val="%1.%2.%3"/>
      <w:lvlJc w:val="left"/>
      <w:pPr>
        <w:ind w:left="510" w:hanging="510"/>
      </w:pPr>
      <w:rPr>
        <w:rFonts w:hint="default"/>
      </w:rPr>
    </w:lvl>
    <w:lvl w:ilvl="3">
      <w:start w:val="1"/>
      <w:numFmt w:val="decimal"/>
      <w:lvlRestart w:val="1"/>
      <w:pStyle w:val="Figurelabel"/>
      <w:suff w:val="space"/>
      <w:lvlText w:val="Figure %1.%4"/>
      <w:lvlJc w:val="left"/>
      <w:pPr>
        <w:ind w:left="0" w:firstLine="0"/>
      </w:pPr>
      <w:rPr>
        <w:rFonts w:hint="default"/>
      </w:rPr>
    </w:lvl>
    <w:lvl w:ilvl="4">
      <w:start w:val="1"/>
      <w:numFmt w:val="decimal"/>
      <w:lvlRestart w:val="1"/>
      <w:pStyle w:val="Chartlabel"/>
      <w:suff w:val="space"/>
      <w:lvlText w:val="Table %1.%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F8D1A59"/>
    <w:multiLevelType w:val="multilevel"/>
    <w:tmpl w:val="BEF8B2BA"/>
    <w:styleLink w:val="IFFHeadings"/>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2096CF0"/>
    <w:multiLevelType w:val="hybridMultilevel"/>
    <w:tmpl w:val="B9EE5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6025699"/>
    <w:multiLevelType w:val="multilevel"/>
    <w:tmpl w:val="E61076A2"/>
    <w:numStyleLink w:val="JayeshNavinShahEasterEgg"/>
  </w:abstractNum>
  <w:abstractNum w:abstractNumId="25" w15:restartNumberingAfterBreak="0">
    <w:nsid w:val="26D85526"/>
    <w:multiLevelType w:val="hybridMultilevel"/>
    <w:tmpl w:val="C5C4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435DE2"/>
    <w:multiLevelType w:val="hybridMultilevel"/>
    <w:tmpl w:val="DDBE4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C3473D"/>
    <w:multiLevelType w:val="hybridMultilevel"/>
    <w:tmpl w:val="7E283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CAA2984"/>
    <w:multiLevelType w:val="hybridMultilevel"/>
    <w:tmpl w:val="4034948C"/>
    <w:lvl w:ilvl="0" w:tplc="D3B2ED6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E57955"/>
    <w:multiLevelType w:val="hybridMultilevel"/>
    <w:tmpl w:val="EE6C6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C54ECC"/>
    <w:multiLevelType w:val="hybridMultilevel"/>
    <w:tmpl w:val="71A2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0026C0"/>
    <w:multiLevelType w:val="hybridMultilevel"/>
    <w:tmpl w:val="778CA538"/>
    <w:lvl w:ilvl="0" w:tplc="BECAD8CA">
      <w:start w:val="1"/>
      <w:numFmt w:val="bullet"/>
      <w:lvlText w:val=""/>
      <w:lvlJc w:val="left"/>
      <w:pPr>
        <w:ind w:left="360" w:hanging="360"/>
      </w:pPr>
      <w:rPr>
        <w:rFonts w:ascii="Symbol" w:hAnsi="Symbol" w:hint="default"/>
      </w:rPr>
    </w:lvl>
    <w:lvl w:ilvl="1" w:tplc="690ED1CE">
      <w:start w:val="1"/>
      <w:numFmt w:val="bullet"/>
      <w:lvlText w:val="o"/>
      <w:lvlJc w:val="left"/>
      <w:pPr>
        <w:ind w:left="1080" w:hanging="360"/>
      </w:pPr>
      <w:rPr>
        <w:rFonts w:ascii="Courier New" w:hAnsi="Courier New" w:hint="default"/>
      </w:rPr>
    </w:lvl>
    <w:lvl w:ilvl="2" w:tplc="4552B6DE">
      <w:start w:val="1"/>
      <w:numFmt w:val="bullet"/>
      <w:lvlText w:val=""/>
      <w:lvlJc w:val="left"/>
      <w:pPr>
        <w:ind w:left="1800" w:hanging="360"/>
      </w:pPr>
      <w:rPr>
        <w:rFonts w:ascii="Wingdings" w:hAnsi="Wingdings" w:hint="default"/>
      </w:rPr>
    </w:lvl>
    <w:lvl w:ilvl="3" w:tplc="192AB5E0">
      <w:start w:val="1"/>
      <w:numFmt w:val="bullet"/>
      <w:lvlText w:val=""/>
      <w:lvlJc w:val="left"/>
      <w:pPr>
        <w:ind w:left="2520" w:hanging="360"/>
      </w:pPr>
      <w:rPr>
        <w:rFonts w:ascii="Symbol" w:hAnsi="Symbol" w:hint="default"/>
      </w:rPr>
    </w:lvl>
    <w:lvl w:ilvl="4" w:tplc="DC624964">
      <w:start w:val="1"/>
      <w:numFmt w:val="bullet"/>
      <w:lvlText w:val="o"/>
      <w:lvlJc w:val="left"/>
      <w:pPr>
        <w:ind w:left="3240" w:hanging="360"/>
      </w:pPr>
      <w:rPr>
        <w:rFonts w:ascii="Courier New" w:hAnsi="Courier New" w:hint="default"/>
      </w:rPr>
    </w:lvl>
    <w:lvl w:ilvl="5" w:tplc="F912B4F4">
      <w:start w:val="1"/>
      <w:numFmt w:val="bullet"/>
      <w:lvlText w:val=""/>
      <w:lvlJc w:val="left"/>
      <w:pPr>
        <w:ind w:left="3960" w:hanging="360"/>
      </w:pPr>
      <w:rPr>
        <w:rFonts w:ascii="Wingdings" w:hAnsi="Wingdings" w:hint="default"/>
      </w:rPr>
    </w:lvl>
    <w:lvl w:ilvl="6" w:tplc="A468D50A">
      <w:start w:val="1"/>
      <w:numFmt w:val="bullet"/>
      <w:lvlText w:val=""/>
      <w:lvlJc w:val="left"/>
      <w:pPr>
        <w:ind w:left="4680" w:hanging="360"/>
      </w:pPr>
      <w:rPr>
        <w:rFonts w:ascii="Symbol" w:hAnsi="Symbol" w:hint="default"/>
      </w:rPr>
    </w:lvl>
    <w:lvl w:ilvl="7" w:tplc="8DD0E9EE">
      <w:start w:val="1"/>
      <w:numFmt w:val="bullet"/>
      <w:lvlText w:val="o"/>
      <w:lvlJc w:val="left"/>
      <w:pPr>
        <w:ind w:left="5400" w:hanging="360"/>
      </w:pPr>
      <w:rPr>
        <w:rFonts w:ascii="Courier New" w:hAnsi="Courier New" w:hint="default"/>
      </w:rPr>
    </w:lvl>
    <w:lvl w:ilvl="8" w:tplc="F57E673C">
      <w:start w:val="1"/>
      <w:numFmt w:val="bullet"/>
      <w:lvlText w:val=""/>
      <w:lvlJc w:val="left"/>
      <w:pPr>
        <w:ind w:left="6120" w:hanging="360"/>
      </w:pPr>
      <w:rPr>
        <w:rFonts w:ascii="Wingdings" w:hAnsi="Wingdings" w:hint="default"/>
      </w:rPr>
    </w:lvl>
  </w:abstractNum>
  <w:abstractNum w:abstractNumId="32" w15:restartNumberingAfterBreak="0">
    <w:nsid w:val="36FE79A4"/>
    <w:multiLevelType w:val="hybridMultilevel"/>
    <w:tmpl w:val="3FFE4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553D5E"/>
    <w:multiLevelType w:val="hybridMultilevel"/>
    <w:tmpl w:val="E1448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783E61"/>
    <w:multiLevelType w:val="hybridMultilevel"/>
    <w:tmpl w:val="C674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6C44F1"/>
    <w:multiLevelType w:val="hybridMultilevel"/>
    <w:tmpl w:val="AD24AE7A"/>
    <w:lvl w:ilvl="0" w:tplc="826C104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5760C9"/>
    <w:multiLevelType w:val="hybridMultilevel"/>
    <w:tmpl w:val="B2FACE0C"/>
    <w:lvl w:ilvl="0" w:tplc="3A34348E">
      <w:start w:val="1"/>
      <w:numFmt w:val="bullet"/>
      <w:lvlText w:val=""/>
      <w:lvlJc w:val="left"/>
      <w:pPr>
        <w:ind w:left="360" w:hanging="360"/>
      </w:pPr>
      <w:rPr>
        <w:rFonts w:ascii="Symbol" w:hAnsi="Symbol" w:hint="default"/>
      </w:rPr>
    </w:lvl>
    <w:lvl w:ilvl="1" w:tplc="8C4A9E3E">
      <w:start w:val="1"/>
      <w:numFmt w:val="bullet"/>
      <w:lvlText w:val="o"/>
      <w:lvlJc w:val="left"/>
      <w:pPr>
        <w:ind w:left="1080" w:hanging="360"/>
      </w:pPr>
      <w:rPr>
        <w:rFonts w:ascii="Courier New" w:hAnsi="Courier New" w:hint="default"/>
      </w:rPr>
    </w:lvl>
    <w:lvl w:ilvl="2" w:tplc="59825802">
      <w:start w:val="1"/>
      <w:numFmt w:val="bullet"/>
      <w:lvlText w:val=""/>
      <w:lvlJc w:val="left"/>
      <w:pPr>
        <w:ind w:left="1800" w:hanging="360"/>
      </w:pPr>
      <w:rPr>
        <w:rFonts w:ascii="Wingdings" w:hAnsi="Wingdings" w:hint="default"/>
      </w:rPr>
    </w:lvl>
    <w:lvl w:ilvl="3" w:tplc="D2386068">
      <w:start w:val="1"/>
      <w:numFmt w:val="bullet"/>
      <w:lvlText w:val=""/>
      <w:lvlJc w:val="left"/>
      <w:pPr>
        <w:ind w:left="2520" w:hanging="360"/>
      </w:pPr>
      <w:rPr>
        <w:rFonts w:ascii="Symbol" w:hAnsi="Symbol" w:hint="default"/>
      </w:rPr>
    </w:lvl>
    <w:lvl w:ilvl="4" w:tplc="E2C89640">
      <w:start w:val="1"/>
      <w:numFmt w:val="bullet"/>
      <w:lvlText w:val="o"/>
      <w:lvlJc w:val="left"/>
      <w:pPr>
        <w:ind w:left="3240" w:hanging="360"/>
      </w:pPr>
      <w:rPr>
        <w:rFonts w:ascii="Courier New" w:hAnsi="Courier New" w:hint="default"/>
      </w:rPr>
    </w:lvl>
    <w:lvl w:ilvl="5" w:tplc="925AEC3C">
      <w:start w:val="1"/>
      <w:numFmt w:val="bullet"/>
      <w:lvlText w:val=""/>
      <w:lvlJc w:val="left"/>
      <w:pPr>
        <w:ind w:left="3960" w:hanging="360"/>
      </w:pPr>
      <w:rPr>
        <w:rFonts w:ascii="Wingdings" w:hAnsi="Wingdings" w:hint="default"/>
      </w:rPr>
    </w:lvl>
    <w:lvl w:ilvl="6" w:tplc="38CC4E94">
      <w:start w:val="1"/>
      <w:numFmt w:val="bullet"/>
      <w:lvlText w:val=""/>
      <w:lvlJc w:val="left"/>
      <w:pPr>
        <w:ind w:left="4680" w:hanging="360"/>
      </w:pPr>
      <w:rPr>
        <w:rFonts w:ascii="Symbol" w:hAnsi="Symbol" w:hint="default"/>
      </w:rPr>
    </w:lvl>
    <w:lvl w:ilvl="7" w:tplc="D178A8C0">
      <w:start w:val="1"/>
      <w:numFmt w:val="bullet"/>
      <w:lvlText w:val="o"/>
      <w:lvlJc w:val="left"/>
      <w:pPr>
        <w:ind w:left="5400" w:hanging="360"/>
      </w:pPr>
      <w:rPr>
        <w:rFonts w:ascii="Courier New" w:hAnsi="Courier New" w:hint="default"/>
      </w:rPr>
    </w:lvl>
    <w:lvl w:ilvl="8" w:tplc="6F4670A2">
      <w:start w:val="1"/>
      <w:numFmt w:val="bullet"/>
      <w:lvlText w:val=""/>
      <w:lvlJc w:val="left"/>
      <w:pPr>
        <w:ind w:left="6120" w:hanging="360"/>
      </w:pPr>
      <w:rPr>
        <w:rFonts w:ascii="Wingdings" w:hAnsi="Wingdings" w:hint="default"/>
      </w:rPr>
    </w:lvl>
  </w:abstractNum>
  <w:abstractNum w:abstractNumId="37" w15:restartNumberingAfterBreak="0">
    <w:nsid w:val="435D141C"/>
    <w:multiLevelType w:val="hybridMultilevel"/>
    <w:tmpl w:val="6CDE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7B742D"/>
    <w:multiLevelType w:val="hybridMultilevel"/>
    <w:tmpl w:val="47A84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D32698"/>
    <w:multiLevelType w:val="hybridMultilevel"/>
    <w:tmpl w:val="7988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9C06A2"/>
    <w:multiLevelType w:val="hybridMultilevel"/>
    <w:tmpl w:val="278EFC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6D2F5B"/>
    <w:multiLevelType w:val="hybridMultilevel"/>
    <w:tmpl w:val="063EB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8720AF5"/>
    <w:multiLevelType w:val="hybridMultilevel"/>
    <w:tmpl w:val="22A4503A"/>
    <w:lvl w:ilvl="0" w:tplc="23942D2C">
      <w:start w:val="1"/>
      <w:numFmt w:val="bullet"/>
      <w:lvlText w:val=""/>
      <w:lvlJc w:val="left"/>
      <w:pPr>
        <w:ind w:left="360" w:hanging="360"/>
      </w:pPr>
      <w:rPr>
        <w:rFonts w:ascii="Symbol" w:hAnsi="Symbol" w:hint="default"/>
      </w:rPr>
    </w:lvl>
    <w:lvl w:ilvl="1" w:tplc="4EE05400">
      <w:start w:val="1"/>
      <w:numFmt w:val="bullet"/>
      <w:lvlText w:val="o"/>
      <w:lvlJc w:val="left"/>
      <w:pPr>
        <w:ind w:left="1080" w:hanging="360"/>
      </w:pPr>
      <w:rPr>
        <w:rFonts w:ascii="Courier New" w:hAnsi="Courier New" w:hint="default"/>
      </w:rPr>
    </w:lvl>
    <w:lvl w:ilvl="2" w:tplc="E1C4D87E">
      <w:start w:val="1"/>
      <w:numFmt w:val="bullet"/>
      <w:lvlText w:val=""/>
      <w:lvlJc w:val="left"/>
      <w:pPr>
        <w:ind w:left="1800" w:hanging="360"/>
      </w:pPr>
      <w:rPr>
        <w:rFonts w:ascii="Wingdings" w:hAnsi="Wingdings" w:hint="default"/>
      </w:rPr>
    </w:lvl>
    <w:lvl w:ilvl="3" w:tplc="E390B72A">
      <w:start w:val="1"/>
      <w:numFmt w:val="bullet"/>
      <w:lvlText w:val=""/>
      <w:lvlJc w:val="left"/>
      <w:pPr>
        <w:ind w:left="2520" w:hanging="360"/>
      </w:pPr>
      <w:rPr>
        <w:rFonts w:ascii="Symbol" w:hAnsi="Symbol" w:hint="default"/>
      </w:rPr>
    </w:lvl>
    <w:lvl w:ilvl="4" w:tplc="50EE3DFC">
      <w:start w:val="1"/>
      <w:numFmt w:val="bullet"/>
      <w:lvlText w:val="o"/>
      <w:lvlJc w:val="left"/>
      <w:pPr>
        <w:ind w:left="3240" w:hanging="360"/>
      </w:pPr>
      <w:rPr>
        <w:rFonts w:ascii="Courier New" w:hAnsi="Courier New" w:hint="default"/>
      </w:rPr>
    </w:lvl>
    <w:lvl w:ilvl="5" w:tplc="6D34E2A4">
      <w:start w:val="1"/>
      <w:numFmt w:val="bullet"/>
      <w:lvlText w:val=""/>
      <w:lvlJc w:val="left"/>
      <w:pPr>
        <w:ind w:left="3960" w:hanging="360"/>
      </w:pPr>
      <w:rPr>
        <w:rFonts w:ascii="Wingdings" w:hAnsi="Wingdings" w:hint="default"/>
      </w:rPr>
    </w:lvl>
    <w:lvl w:ilvl="6" w:tplc="5AFC0D5A">
      <w:start w:val="1"/>
      <w:numFmt w:val="bullet"/>
      <w:lvlText w:val=""/>
      <w:lvlJc w:val="left"/>
      <w:pPr>
        <w:ind w:left="4680" w:hanging="360"/>
      </w:pPr>
      <w:rPr>
        <w:rFonts w:ascii="Symbol" w:hAnsi="Symbol" w:hint="default"/>
      </w:rPr>
    </w:lvl>
    <w:lvl w:ilvl="7" w:tplc="7E4471D6">
      <w:start w:val="1"/>
      <w:numFmt w:val="bullet"/>
      <w:lvlText w:val="o"/>
      <w:lvlJc w:val="left"/>
      <w:pPr>
        <w:ind w:left="5400" w:hanging="360"/>
      </w:pPr>
      <w:rPr>
        <w:rFonts w:ascii="Courier New" w:hAnsi="Courier New" w:hint="default"/>
      </w:rPr>
    </w:lvl>
    <w:lvl w:ilvl="8" w:tplc="C2B2A940">
      <w:start w:val="1"/>
      <w:numFmt w:val="bullet"/>
      <w:lvlText w:val=""/>
      <w:lvlJc w:val="left"/>
      <w:pPr>
        <w:ind w:left="6120" w:hanging="360"/>
      </w:pPr>
      <w:rPr>
        <w:rFonts w:ascii="Wingdings" w:hAnsi="Wingdings" w:hint="default"/>
      </w:rPr>
    </w:lvl>
  </w:abstractNum>
  <w:abstractNum w:abstractNumId="43" w15:restartNumberingAfterBreak="0">
    <w:nsid w:val="51666FA2"/>
    <w:multiLevelType w:val="hybridMultilevel"/>
    <w:tmpl w:val="9C0AD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401078"/>
    <w:multiLevelType w:val="hybridMultilevel"/>
    <w:tmpl w:val="69C294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A50C64"/>
    <w:multiLevelType w:val="hybridMultilevel"/>
    <w:tmpl w:val="1602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2C1199"/>
    <w:multiLevelType w:val="multilevel"/>
    <w:tmpl w:val="869A6362"/>
    <w:styleLink w:val="IFFBullets"/>
    <w:lvl w:ilvl="0">
      <w:start w:val="1"/>
      <w:numFmt w:val="bullet"/>
      <w:lvlText w:val=""/>
      <w:lvlJc w:val="left"/>
      <w:pPr>
        <w:ind w:left="284" w:hanging="284"/>
      </w:pPr>
      <w:rPr>
        <w:rFonts w:ascii="Symbol" w:hAnsi="Symbol" w:hint="default"/>
        <w:color w:val="A6CE39" w:themeColor="background2"/>
      </w:rPr>
    </w:lvl>
    <w:lvl w:ilvl="1">
      <w:start w:val="1"/>
      <w:numFmt w:val="bullet"/>
      <w:lvlText w:val=""/>
      <w:lvlJc w:val="left"/>
      <w:pPr>
        <w:ind w:left="567" w:hanging="283"/>
      </w:pPr>
      <w:rPr>
        <w:rFonts w:ascii="Symbol" w:hAnsi="Symbol" w:hint="default"/>
        <w:color w:val="A6CE39" w:themeColor="background2"/>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7" w15:restartNumberingAfterBreak="0">
    <w:nsid w:val="5FE05F92"/>
    <w:multiLevelType w:val="multilevel"/>
    <w:tmpl w:val="BBB6CA4A"/>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539"/>
        </w:tabs>
        <w:ind w:left="539" w:hanging="539"/>
      </w:pPr>
      <w:rPr>
        <w:rFonts w:hint="default"/>
      </w:rPr>
    </w:lvl>
    <w:lvl w:ilvl="2">
      <w:start w:val="1"/>
      <w:numFmt w:val="decimal"/>
      <w:lvlText w:val="%1.%2.%3."/>
      <w:lvlJc w:val="left"/>
      <w:pPr>
        <w:tabs>
          <w:tab w:val="num" w:pos="1152"/>
        </w:tabs>
        <w:ind w:left="936" w:hanging="504"/>
      </w:pPr>
      <w:rPr>
        <w:rFonts w:hint="default"/>
      </w:rPr>
    </w:lvl>
    <w:lvl w:ilvl="3">
      <w:start w:val="1"/>
      <w:numFmt w:val="decimal"/>
      <w:lvlText w:val="%1.%2.%3.%4."/>
      <w:lvlJc w:val="left"/>
      <w:pPr>
        <w:tabs>
          <w:tab w:val="num" w:pos="1872"/>
        </w:tabs>
        <w:ind w:left="1440" w:hanging="648"/>
      </w:pPr>
      <w:rPr>
        <w:rFonts w:hint="default"/>
      </w:rPr>
    </w:lvl>
    <w:lvl w:ilvl="4">
      <w:start w:val="1"/>
      <w:numFmt w:val="decimal"/>
      <w:lvlText w:val="%1.%2.%3.%4.%5."/>
      <w:lvlJc w:val="left"/>
      <w:pPr>
        <w:tabs>
          <w:tab w:val="num" w:pos="2232"/>
        </w:tabs>
        <w:ind w:left="1944" w:hanging="792"/>
      </w:pPr>
      <w:rPr>
        <w:rFonts w:hint="default"/>
      </w:rPr>
    </w:lvl>
    <w:lvl w:ilvl="5">
      <w:start w:val="1"/>
      <w:numFmt w:val="decimal"/>
      <w:lvlText w:val="%1.%2.%3.%4.%5.%6."/>
      <w:lvlJc w:val="left"/>
      <w:pPr>
        <w:tabs>
          <w:tab w:val="num" w:pos="2952"/>
        </w:tabs>
        <w:ind w:left="2448" w:hanging="936"/>
      </w:pPr>
      <w:rPr>
        <w:rFonts w:hint="default"/>
      </w:rPr>
    </w:lvl>
    <w:lvl w:ilvl="6">
      <w:start w:val="1"/>
      <w:numFmt w:val="decimal"/>
      <w:lvlText w:val="%1.%2.%3.%4.%5.%6.%7."/>
      <w:lvlJc w:val="left"/>
      <w:pPr>
        <w:tabs>
          <w:tab w:val="num" w:pos="3312"/>
        </w:tabs>
        <w:ind w:left="2952" w:hanging="1080"/>
      </w:pPr>
      <w:rPr>
        <w:rFonts w:hint="default"/>
      </w:rPr>
    </w:lvl>
    <w:lvl w:ilvl="7">
      <w:start w:val="1"/>
      <w:numFmt w:val="decimal"/>
      <w:lvlText w:val="%1.%2.%3.%4.%5.%6.%7.%8."/>
      <w:lvlJc w:val="left"/>
      <w:pPr>
        <w:tabs>
          <w:tab w:val="num" w:pos="4032"/>
        </w:tabs>
        <w:ind w:left="3456" w:hanging="1224"/>
      </w:pPr>
      <w:rPr>
        <w:rFonts w:hint="default"/>
      </w:rPr>
    </w:lvl>
    <w:lvl w:ilvl="8">
      <w:start w:val="1"/>
      <w:numFmt w:val="decimal"/>
      <w:lvlText w:val="%1.%2.%3.%4.%5.%6.%7.%8.%9."/>
      <w:lvlJc w:val="left"/>
      <w:pPr>
        <w:tabs>
          <w:tab w:val="num" w:pos="4392"/>
        </w:tabs>
        <w:ind w:left="4032" w:hanging="1440"/>
      </w:pPr>
      <w:rPr>
        <w:rFonts w:hint="default"/>
      </w:rPr>
    </w:lvl>
  </w:abstractNum>
  <w:abstractNum w:abstractNumId="48" w15:restartNumberingAfterBreak="0">
    <w:nsid w:val="6029630D"/>
    <w:multiLevelType w:val="hybridMultilevel"/>
    <w:tmpl w:val="689C8CDC"/>
    <w:lvl w:ilvl="0" w:tplc="6CFEA7F8">
      <w:start w:val="1"/>
      <w:numFmt w:val="bullet"/>
      <w:lvlText w:val=""/>
      <w:lvlJc w:val="left"/>
      <w:pPr>
        <w:ind w:left="360" w:hanging="360"/>
      </w:pPr>
      <w:rPr>
        <w:rFonts w:ascii="Symbol" w:hAnsi="Symbol" w:hint="default"/>
      </w:rPr>
    </w:lvl>
    <w:lvl w:ilvl="1" w:tplc="69D2F956">
      <w:start w:val="1"/>
      <w:numFmt w:val="bullet"/>
      <w:lvlText w:val="o"/>
      <w:lvlJc w:val="left"/>
      <w:pPr>
        <w:ind w:left="1080" w:hanging="360"/>
      </w:pPr>
      <w:rPr>
        <w:rFonts w:ascii="Courier New" w:hAnsi="Courier New" w:hint="default"/>
      </w:rPr>
    </w:lvl>
    <w:lvl w:ilvl="2" w:tplc="0B4E29E8">
      <w:start w:val="1"/>
      <w:numFmt w:val="bullet"/>
      <w:lvlText w:val=""/>
      <w:lvlJc w:val="left"/>
      <w:pPr>
        <w:ind w:left="1800" w:hanging="360"/>
      </w:pPr>
      <w:rPr>
        <w:rFonts w:ascii="Wingdings" w:hAnsi="Wingdings" w:hint="default"/>
      </w:rPr>
    </w:lvl>
    <w:lvl w:ilvl="3" w:tplc="11706E0E">
      <w:start w:val="1"/>
      <w:numFmt w:val="bullet"/>
      <w:lvlText w:val=""/>
      <w:lvlJc w:val="left"/>
      <w:pPr>
        <w:ind w:left="2520" w:hanging="360"/>
      </w:pPr>
      <w:rPr>
        <w:rFonts w:ascii="Symbol" w:hAnsi="Symbol" w:hint="default"/>
      </w:rPr>
    </w:lvl>
    <w:lvl w:ilvl="4" w:tplc="A88A4B06">
      <w:start w:val="1"/>
      <w:numFmt w:val="bullet"/>
      <w:lvlText w:val="o"/>
      <w:lvlJc w:val="left"/>
      <w:pPr>
        <w:ind w:left="3240" w:hanging="360"/>
      </w:pPr>
      <w:rPr>
        <w:rFonts w:ascii="Courier New" w:hAnsi="Courier New" w:hint="default"/>
      </w:rPr>
    </w:lvl>
    <w:lvl w:ilvl="5" w:tplc="77E632E8">
      <w:start w:val="1"/>
      <w:numFmt w:val="bullet"/>
      <w:lvlText w:val=""/>
      <w:lvlJc w:val="left"/>
      <w:pPr>
        <w:ind w:left="3960" w:hanging="360"/>
      </w:pPr>
      <w:rPr>
        <w:rFonts w:ascii="Wingdings" w:hAnsi="Wingdings" w:hint="default"/>
      </w:rPr>
    </w:lvl>
    <w:lvl w:ilvl="6" w:tplc="5DAAAFB0">
      <w:start w:val="1"/>
      <w:numFmt w:val="bullet"/>
      <w:lvlText w:val=""/>
      <w:lvlJc w:val="left"/>
      <w:pPr>
        <w:ind w:left="4680" w:hanging="360"/>
      </w:pPr>
      <w:rPr>
        <w:rFonts w:ascii="Symbol" w:hAnsi="Symbol" w:hint="default"/>
      </w:rPr>
    </w:lvl>
    <w:lvl w:ilvl="7" w:tplc="89727C9A">
      <w:start w:val="1"/>
      <w:numFmt w:val="bullet"/>
      <w:lvlText w:val="o"/>
      <w:lvlJc w:val="left"/>
      <w:pPr>
        <w:ind w:left="5400" w:hanging="360"/>
      </w:pPr>
      <w:rPr>
        <w:rFonts w:ascii="Courier New" w:hAnsi="Courier New" w:hint="default"/>
      </w:rPr>
    </w:lvl>
    <w:lvl w:ilvl="8" w:tplc="A49C9A08">
      <w:start w:val="1"/>
      <w:numFmt w:val="bullet"/>
      <w:lvlText w:val=""/>
      <w:lvlJc w:val="left"/>
      <w:pPr>
        <w:ind w:left="6120" w:hanging="360"/>
      </w:pPr>
      <w:rPr>
        <w:rFonts w:ascii="Wingdings" w:hAnsi="Wingdings" w:hint="default"/>
      </w:rPr>
    </w:lvl>
  </w:abstractNum>
  <w:abstractNum w:abstractNumId="49" w15:restartNumberingAfterBreak="0">
    <w:nsid w:val="63382F92"/>
    <w:multiLevelType w:val="hybridMultilevel"/>
    <w:tmpl w:val="EF6CA020"/>
    <w:lvl w:ilvl="0" w:tplc="CD8E50A6">
      <w:start w:val="1"/>
      <w:numFmt w:val="bullet"/>
      <w:lvlText w:val=""/>
      <w:lvlJc w:val="left"/>
      <w:pPr>
        <w:ind w:left="360" w:hanging="360"/>
      </w:pPr>
      <w:rPr>
        <w:rFonts w:ascii="Symbol" w:hAnsi="Symbol" w:hint="default"/>
      </w:rPr>
    </w:lvl>
    <w:lvl w:ilvl="1" w:tplc="497225F0">
      <w:start w:val="1"/>
      <w:numFmt w:val="bullet"/>
      <w:lvlText w:val="o"/>
      <w:lvlJc w:val="left"/>
      <w:pPr>
        <w:ind w:left="1080" w:hanging="360"/>
      </w:pPr>
      <w:rPr>
        <w:rFonts w:ascii="Courier New" w:hAnsi="Courier New" w:hint="default"/>
      </w:rPr>
    </w:lvl>
    <w:lvl w:ilvl="2" w:tplc="DFAAFE5E">
      <w:start w:val="1"/>
      <w:numFmt w:val="bullet"/>
      <w:lvlText w:val=""/>
      <w:lvlJc w:val="left"/>
      <w:pPr>
        <w:ind w:left="1800" w:hanging="360"/>
      </w:pPr>
      <w:rPr>
        <w:rFonts w:ascii="Wingdings" w:hAnsi="Wingdings" w:hint="default"/>
      </w:rPr>
    </w:lvl>
    <w:lvl w:ilvl="3" w:tplc="1B388916">
      <w:start w:val="1"/>
      <w:numFmt w:val="bullet"/>
      <w:lvlText w:val=""/>
      <w:lvlJc w:val="left"/>
      <w:pPr>
        <w:ind w:left="2520" w:hanging="360"/>
      </w:pPr>
      <w:rPr>
        <w:rFonts w:ascii="Symbol" w:hAnsi="Symbol" w:hint="default"/>
      </w:rPr>
    </w:lvl>
    <w:lvl w:ilvl="4" w:tplc="A718D3BE">
      <w:start w:val="1"/>
      <w:numFmt w:val="bullet"/>
      <w:lvlText w:val="o"/>
      <w:lvlJc w:val="left"/>
      <w:pPr>
        <w:ind w:left="3240" w:hanging="360"/>
      </w:pPr>
      <w:rPr>
        <w:rFonts w:ascii="Courier New" w:hAnsi="Courier New" w:hint="default"/>
      </w:rPr>
    </w:lvl>
    <w:lvl w:ilvl="5" w:tplc="B0FE8BBA">
      <w:start w:val="1"/>
      <w:numFmt w:val="bullet"/>
      <w:lvlText w:val=""/>
      <w:lvlJc w:val="left"/>
      <w:pPr>
        <w:ind w:left="3960" w:hanging="360"/>
      </w:pPr>
      <w:rPr>
        <w:rFonts w:ascii="Wingdings" w:hAnsi="Wingdings" w:hint="default"/>
      </w:rPr>
    </w:lvl>
    <w:lvl w:ilvl="6" w:tplc="E2A0D8F0">
      <w:start w:val="1"/>
      <w:numFmt w:val="bullet"/>
      <w:lvlText w:val=""/>
      <w:lvlJc w:val="left"/>
      <w:pPr>
        <w:ind w:left="4680" w:hanging="360"/>
      </w:pPr>
      <w:rPr>
        <w:rFonts w:ascii="Symbol" w:hAnsi="Symbol" w:hint="default"/>
      </w:rPr>
    </w:lvl>
    <w:lvl w:ilvl="7" w:tplc="1BE8EB00">
      <w:start w:val="1"/>
      <w:numFmt w:val="bullet"/>
      <w:lvlText w:val="o"/>
      <w:lvlJc w:val="left"/>
      <w:pPr>
        <w:ind w:left="5400" w:hanging="360"/>
      </w:pPr>
      <w:rPr>
        <w:rFonts w:ascii="Courier New" w:hAnsi="Courier New" w:hint="default"/>
      </w:rPr>
    </w:lvl>
    <w:lvl w:ilvl="8" w:tplc="20B8A392">
      <w:start w:val="1"/>
      <w:numFmt w:val="bullet"/>
      <w:lvlText w:val=""/>
      <w:lvlJc w:val="left"/>
      <w:pPr>
        <w:ind w:left="6120" w:hanging="360"/>
      </w:pPr>
      <w:rPr>
        <w:rFonts w:ascii="Wingdings" w:hAnsi="Wingdings" w:hint="default"/>
      </w:rPr>
    </w:lvl>
  </w:abstractNum>
  <w:abstractNum w:abstractNumId="50" w15:restartNumberingAfterBreak="0">
    <w:nsid w:val="63D370E3"/>
    <w:multiLevelType w:val="hybridMultilevel"/>
    <w:tmpl w:val="06E24D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4750307A">
      <w:numFmt w:val="bullet"/>
      <w:lvlText w:val="•"/>
      <w:lvlJc w:val="left"/>
      <w:pPr>
        <w:ind w:left="2700" w:hanging="720"/>
      </w:pPr>
      <w:rPr>
        <w:rFonts w:ascii="Calibri" w:eastAsiaTheme="minorEastAsia"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4B54D31"/>
    <w:multiLevelType w:val="hybridMultilevel"/>
    <w:tmpl w:val="CAC8D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5CD40FE"/>
    <w:multiLevelType w:val="hybridMultilevel"/>
    <w:tmpl w:val="58344302"/>
    <w:lvl w:ilvl="0" w:tplc="220804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022B36"/>
    <w:multiLevelType w:val="hybridMultilevel"/>
    <w:tmpl w:val="FCB0A6FA"/>
    <w:lvl w:ilvl="0" w:tplc="3280A0BC">
      <w:start w:val="1"/>
      <w:numFmt w:val="bullet"/>
      <w:pStyle w:val="Level2bullet"/>
      <w:lvlText w:val=""/>
      <w:lvlJc w:val="left"/>
      <w:pPr>
        <w:tabs>
          <w:tab w:val="num" w:pos="1069"/>
        </w:tabs>
        <w:ind w:left="879" w:hanging="170"/>
      </w:pPr>
      <w:rPr>
        <w:rFonts w:ascii="Symbol" w:hAnsi="Symbol" w:hint="default"/>
        <w:color w:val="767878"/>
      </w:rPr>
    </w:lvl>
    <w:lvl w:ilvl="1" w:tplc="E85E1D18">
      <w:start w:val="1"/>
      <w:numFmt w:val="decimal"/>
      <w:lvlText w:val="%2"/>
      <w:lvlJc w:val="left"/>
      <w:pPr>
        <w:tabs>
          <w:tab w:val="num" w:pos="1619"/>
        </w:tabs>
        <w:ind w:left="1619" w:hanging="539"/>
      </w:pPr>
      <w:rPr>
        <w:rFonts w:hint="default"/>
      </w:rPr>
    </w:lvl>
    <w:lvl w:ilvl="2" w:tplc="A2200E2E" w:tentative="1">
      <w:start w:val="1"/>
      <w:numFmt w:val="bullet"/>
      <w:lvlText w:val=""/>
      <w:lvlJc w:val="left"/>
      <w:pPr>
        <w:tabs>
          <w:tab w:val="num" w:pos="2160"/>
        </w:tabs>
        <w:ind w:left="2160" w:hanging="360"/>
      </w:pPr>
      <w:rPr>
        <w:rFonts w:ascii="Wingdings" w:hAnsi="Wingdings" w:hint="default"/>
      </w:rPr>
    </w:lvl>
    <w:lvl w:ilvl="3" w:tplc="46C8EAAE" w:tentative="1">
      <w:start w:val="1"/>
      <w:numFmt w:val="bullet"/>
      <w:lvlText w:val=""/>
      <w:lvlJc w:val="left"/>
      <w:pPr>
        <w:tabs>
          <w:tab w:val="num" w:pos="2880"/>
        </w:tabs>
        <w:ind w:left="2880" w:hanging="360"/>
      </w:pPr>
      <w:rPr>
        <w:rFonts w:ascii="Symbol" w:hAnsi="Symbol" w:hint="default"/>
      </w:rPr>
    </w:lvl>
    <w:lvl w:ilvl="4" w:tplc="DA14D684" w:tentative="1">
      <w:start w:val="1"/>
      <w:numFmt w:val="bullet"/>
      <w:lvlText w:val="o"/>
      <w:lvlJc w:val="left"/>
      <w:pPr>
        <w:tabs>
          <w:tab w:val="num" w:pos="3600"/>
        </w:tabs>
        <w:ind w:left="3600" w:hanging="360"/>
      </w:pPr>
      <w:rPr>
        <w:rFonts w:ascii="Courier New" w:hAnsi="Courier New" w:hint="default"/>
      </w:rPr>
    </w:lvl>
    <w:lvl w:ilvl="5" w:tplc="30FE02E0" w:tentative="1">
      <w:start w:val="1"/>
      <w:numFmt w:val="bullet"/>
      <w:lvlText w:val=""/>
      <w:lvlJc w:val="left"/>
      <w:pPr>
        <w:tabs>
          <w:tab w:val="num" w:pos="4320"/>
        </w:tabs>
        <w:ind w:left="4320" w:hanging="360"/>
      </w:pPr>
      <w:rPr>
        <w:rFonts w:ascii="Wingdings" w:hAnsi="Wingdings" w:hint="default"/>
      </w:rPr>
    </w:lvl>
    <w:lvl w:ilvl="6" w:tplc="A3903346" w:tentative="1">
      <w:start w:val="1"/>
      <w:numFmt w:val="bullet"/>
      <w:lvlText w:val=""/>
      <w:lvlJc w:val="left"/>
      <w:pPr>
        <w:tabs>
          <w:tab w:val="num" w:pos="5040"/>
        </w:tabs>
        <w:ind w:left="5040" w:hanging="360"/>
      </w:pPr>
      <w:rPr>
        <w:rFonts w:ascii="Symbol" w:hAnsi="Symbol" w:hint="default"/>
      </w:rPr>
    </w:lvl>
    <w:lvl w:ilvl="7" w:tplc="5546F4B8" w:tentative="1">
      <w:start w:val="1"/>
      <w:numFmt w:val="bullet"/>
      <w:lvlText w:val="o"/>
      <w:lvlJc w:val="left"/>
      <w:pPr>
        <w:tabs>
          <w:tab w:val="num" w:pos="5760"/>
        </w:tabs>
        <w:ind w:left="5760" w:hanging="360"/>
      </w:pPr>
      <w:rPr>
        <w:rFonts w:ascii="Courier New" w:hAnsi="Courier New" w:hint="default"/>
      </w:rPr>
    </w:lvl>
    <w:lvl w:ilvl="8" w:tplc="D5D02FF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AB12C5"/>
    <w:multiLevelType w:val="hybridMultilevel"/>
    <w:tmpl w:val="7B9EBC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DF7786C"/>
    <w:multiLevelType w:val="hybridMultilevel"/>
    <w:tmpl w:val="628CE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341621"/>
    <w:multiLevelType w:val="hybridMultilevel"/>
    <w:tmpl w:val="57B0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1238C5"/>
    <w:multiLevelType w:val="hybridMultilevel"/>
    <w:tmpl w:val="14347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784259"/>
    <w:multiLevelType w:val="hybridMultilevel"/>
    <w:tmpl w:val="633680F4"/>
    <w:lvl w:ilvl="0" w:tplc="01B6028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AB6BEF"/>
    <w:multiLevelType w:val="hybridMultilevel"/>
    <w:tmpl w:val="13B0B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9D2371"/>
    <w:multiLevelType w:val="hybridMultilevel"/>
    <w:tmpl w:val="72489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E2793D"/>
    <w:multiLevelType w:val="hybridMultilevel"/>
    <w:tmpl w:val="C38A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3B2655"/>
    <w:multiLevelType w:val="multilevel"/>
    <w:tmpl w:val="BEF8B2BA"/>
    <w:numStyleLink w:val="IFFHeadings"/>
  </w:abstractNum>
  <w:abstractNum w:abstractNumId="63" w15:restartNumberingAfterBreak="0">
    <w:nsid w:val="7E485B17"/>
    <w:multiLevelType w:val="hybridMultilevel"/>
    <w:tmpl w:val="92880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CE6797"/>
    <w:multiLevelType w:val="hybridMultilevel"/>
    <w:tmpl w:val="A7BC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6"/>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62"/>
  </w:num>
  <w:num w:numId="16">
    <w:abstractNumId w:val="21"/>
  </w:num>
  <w:num w:numId="17">
    <w:abstractNumId w:val="16"/>
  </w:num>
  <w:num w:numId="18">
    <w:abstractNumId w:val="18"/>
  </w:num>
  <w:num w:numId="19">
    <w:abstractNumId w:val="28"/>
  </w:num>
  <w:num w:numId="20">
    <w:abstractNumId w:val="50"/>
  </w:num>
  <w:num w:numId="21">
    <w:abstractNumId w:val="51"/>
  </w:num>
  <w:num w:numId="22">
    <w:abstractNumId w:val="57"/>
  </w:num>
  <w:num w:numId="23">
    <w:abstractNumId w:val="13"/>
  </w:num>
  <w:num w:numId="24">
    <w:abstractNumId w:val="53"/>
  </w:num>
  <w:num w:numId="25">
    <w:abstractNumId w:val="49"/>
  </w:num>
  <w:num w:numId="26">
    <w:abstractNumId w:val="17"/>
  </w:num>
  <w:num w:numId="27">
    <w:abstractNumId w:val="56"/>
  </w:num>
  <w:num w:numId="28">
    <w:abstractNumId w:val="34"/>
  </w:num>
  <w:num w:numId="29">
    <w:abstractNumId w:val="19"/>
  </w:num>
  <w:num w:numId="30">
    <w:abstractNumId w:val="61"/>
  </w:num>
  <w:num w:numId="31">
    <w:abstractNumId w:val="33"/>
  </w:num>
  <w:num w:numId="32">
    <w:abstractNumId w:val="45"/>
  </w:num>
  <w:num w:numId="33">
    <w:abstractNumId w:val="27"/>
  </w:num>
  <w:num w:numId="34">
    <w:abstractNumId w:val="52"/>
  </w:num>
  <w:num w:numId="35">
    <w:abstractNumId w:val="60"/>
  </w:num>
  <w:num w:numId="36">
    <w:abstractNumId w:val="44"/>
  </w:num>
  <w:num w:numId="37">
    <w:abstractNumId w:val="54"/>
  </w:num>
  <w:num w:numId="38">
    <w:abstractNumId w:val="58"/>
  </w:num>
  <w:num w:numId="39">
    <w:abstractNumId w:val="25"/>
  </w:num>
  <w:num w:numId="40">
    <w:abstractNumId w:val="15"/>
  </w:num>
  <w:num w:numId="41">
    <w:abstractNumId w:val="8"/>
  </w:num>
  <w:num w:numId="42">
    <w:abstractNumId w:val="48"/>
  </w:num>
  <w:num w:numId="43">
    <w:abstractNumId w:val="42"/>
  </w:num>
  <w:num w:numId="44">
    <w:abstractNumId w:val="36"/>
  </w:num>
  <w:num w:numId="45">
    <w:abstractNumId w:val="31"/>
  </w:num>
  <w:num w:numId="46">
    <w:abstractNumId w:val="20"/>
  </w:num>
  <w:num w:numId="47">
    <w:abstractNumId w:val="59"/>
  </w:num>
  <w:num w:numId="48">
    <w:abstractNumId w:val="38"/>
  </w:num>
  <w:num w:numId="49">
    <w:abstractNumId w:val="30"/>
  </w:num>
  <w:num w:numId="50">
    <w:abstractNumId w:val="12"/>
  </w:num>
  <w:num w:numId="51">
    <w:abstractNumId w:val="8"/>
    <w:lvlOverride w:ilvl="0">
      <w:startOverride w:val="1"/>
    </w:lvlOverride>
  </w:num>
  <w:num w:numId="52">
    <w:abstractNumId w:val="8"/>
    <w:lvlOverride w:ilvl="0">
      <w:startOverride w:val="1"/>
    </w:lvlOverride>
  </w:num>
  <w:num w:numId="53">
    <w:abstractNumId w:val="41"/>
  </w:num>
  <w:num w:numId="54">
    <w:abstractNumId w:val="23"/>
  </w:num>
  <w:num w:numId="55">
    <w:abstractNumId w:val="55"/>
  </w:num>
  <w:num w:numId="56">
    <w:abstractNumId w:val="64"/>
  </w:num>
  <w:num w:numId="57">
    <w:abstractNumId w:val="39"/>
  </w:num>
  <w:num w:numId="58">
    <w:abstractNumId w:val="40"/>
  </w:num>
  <w:num w:numId="59">
    <w:abstractNumId w:val="32"/>
  </w:num>
  <w:num w:numId="60">
    <w:abstractNumId w:val="43"/>
  </w:num>
  <w:num w:numId="61">
    <w:abstractNumId w:val="10"/>
  </w:num>
  <w:num w:numId="62">
    <w:abstractNumId w:val="29"/>
  </w:num>
  <w:num w:numId="63">
    <w:abstractNumId w:val="11"/>
  </w:num>
  <w:num w:numId="64">
    <w:abstractNumId w:val="63"/>
  </w:num>
  <w:num w:numId="65">
    <w:abstractNumId w:val="26"/>
  </w:num>
  <w:num w:numId="66">
    <w:abstractNumId w:val="14"/>
  </w:num>
  <w:num w:numId="67">
    <w:abstractNumId w:val="24"/>
    <w:lvlOverride w:ilvl="0">
      <w:lvl w:ilvl="0">
        <w:start w:val="1"/>
        <w:numFmt w:val="none"/>
        <w:pStyle w:val="04ABodyText"/>
        <w:suff w:val="nothing"/>
        <w:lvlText w:val=""/>
        <w:lvlJc w:val="left"/>
        <w:pPr>
          <w:ind w:left="0" w:firstLine="0"/>
        </w:pPr>
        <w:rPr>
          <w:rFonts w:hint="default"/>
        </w:rPr>
      </w:lvl>
    </w:lvlOverride>
    <w:lvlOverride w:ilvl="1">
      <w:lvl w:ilvl="1">
        <w:start w:val="1"/>
        <w:numFmt w:val="bullet"/>
        <w:lvlText w:val="▪"/>
        <w:lvlJc w:val="left"/>
        <w:pPr>
          <w:ind w:left="567" w:hanging="283"/>
        </w:pPr>
        <w:rPr>
          <w:rFonts w:ascii="Segoe UI" w:hAnsi="Segoe UI" w:hint="default"/>
          <w:color w:val="A9C398" w:themeColor="accent3"/>
        </w:rPr>
      </w:lvl>
    </w:lvlOverride>
    <w:lvlOverride w:ilvl="2">
      <w:lvl w:ilvl="2">
        <w:start w:val="1"/>
        <w:numFmt w:val="bullet"/>
        <w:lvlText w:val="−"/>
        <w:lvlJc w:val="left"/>
        <w:pPr>
          <w:ind w:left="851" w:hanging="284"/>
        </w:pPr>
        <w:rPr>
          <w:rFonts w:ascii="Segoe UI" w:hAnsi="Segoe UI" w:hint="default"/>
          <w:color w:val="A9C398" w:themeColor="accent3"/>
        </w:rPr>
      </w:lvl>
    </w:lvlOverride>
    <w:lvlOverride w:ilvl="3">
      <w:lvl w:ilvl="3">
        <w:start w:val="1"/>
        <w:numFmt w:val="bullet"/>
        <w:lvlRestart w:val="1"/>
        <w:lvlText w:val="▪"/>
        <w:lvlJc w:val="left"/>
        <w:pPr>
          <w:ind w:left="567" w:hanging="283"/>
        </w:pPr>
        <w:rPr>
          <w:rFonts w:ascii="Segoe UI" w:hAnsi="Segoe UI" w:hint="default"/>
          <w:b/>
          <w:i w:val="0"/>
          <w:color w:val="A9C398" w:themeColor="accent3"/>
        </w:rPr>
      </w:lvl>
    </w:lvlOverride>
    <w:lvlOverride w:ilvl="4">
      <w:lvl w:ilvl="4">
        <w:start w:val="1"/>
        <w:numFmt w:val="decimal"/>
        <w:lvlRestart w:val="1"/>
        <w:lvlText w:val="%5."/>
        <w:lvlJc w:val="left"/>
        <w:pPr>
          <w:ind w:left="567" w:hanging="283"/>
        </w:pPr>
        <w:rPr>
          <w:rFonts w:ascii="Segoe UI" w:hAnsi="Segoe UI" w:hint="default"/>
          <w:b/>
          <w:i w:val="0"/>
          <w:color w:val="A9C398" w:themeColor="accent3"/>
        </w:rPr>
      </w:lvl>
    </w:lvlOverride>
    <w:lvlOverride w:ilvl="5">
      <w:lvl w:ilvl="5">
        <w:start w:val="1"/>
        <w:numFmt w:val="lowerLetter"/>
        <w:pStyle w:val="06BNumberedList2ndlevel"/>
        <w:lvlText w:val="%6."/>
        <w:lvlJc w:val="left"/>
        <w:pPr>
          <w:ind w:left="851" w:hanging="284"/>
        </w:pPr>
        <w:rPr>
          <w:rFonts w:ascii="Segoe UI" w:hAnsi="Segoe UI" w:hint="default"/>
          <w:b/>
          <w:i w:val="0"/>
          <w:color w:val="A9C398" w:themeColor="accent3"/>
        </w:rPr>
      </w:lvl>
    </w:lvlOverride>
    <w:lvlOverride w:ilvl="6">
      <w:lvl w:ilvl="6">
        <w:start w:val="1"/>
        <w:numFmt w:val="decimal"/>
        <w:lvlRestart w:val="1"/>
        <w:lvlText w:val="%7."/>
        <w:lvlJc w:val="left"/>
        <w:pPr>
          <w:ind w:left="567" w:hanging="283"/>
        </w:pPr>
        <w:rPr>
          <w:rFonts w:ascii="Segoe UI" w:hAnsi="Segoe UI" w:hint="default"/>
          <w:b/>
          <w:i w:val="0"/>
          <w:color w:val="A9C398" w:themeColor="accent3"/>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8">
    <w:abstractNumId w:val="35"/>
  </w:num>
  <w:num w:numId="69">
    <w:abstractNumId w:val="3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2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bSector_ListCount" w:val="0"/>
    <w:docVar w:name="cbSector_ListIndex" w:val="-1"/>
    <w:docVar w:name="DocSettingType" w:val="2"/>
    <w:docVar w:name="lbImages_ListCount" w:val="0"/>
    <w:docVar w:name="lbImages_ListIndex" w:val="-1"/>
    <w:docVar w:name="opt1col" w:val="-1"/>
    <w:docVar w:name="opt2col" w:val="0"/>
    <w:docVar w:name="optClass1" w:val="0"/>
    <w:docVar w:name="optClass2" w:val="0"/>
    <w:docVar w:name="optClass3" w:val="-1"/>
    <w:docVar w:name="optClass4" w:val="0"/>
    <w:docVar w:name="optS1" w:val="-1"/>
    <w:docVar w:name="optS2" w:val="0"/>
    <w:docVar w:name="optS3" w:val="0"/>
    <w:docVar w:name="RERUN" w:val="1"/>
    <w:docVar w:name="tbTitle" w:val="11029 Interim report OG "/>
  </w:docVars>
  <w:rsids>
    <w:rsidRoot w:val="00735528"/>
    <w:rsid w:val="000039C0"/>
    <w:rsid w:val="00007982"/>
    <w:rsid w:val="00007A45"/>
    <w:rsid w:val="00015D58"/>
    <w:rsid w:val="000161BB"/>
    <w:rsid w:val="00020CA3"/>
    <w:rsid w:val="000228B7"/>
    <w:rsid w:val="0002465A"/>
    <w:rsid w:val="00031721"/>
    <w:rsid w:val="000331C7"/>
    <w:rsid w:val="00036E27"/>
    <w:rsid w:val="00043B12"/>
    <w:rsid w:val="000442D2"/>
    <w:rsid w:val="00045B41"/>
    <w:rsid w:val="00045FCC"/>
    <w:rsid w:val="000529B0"/>
    <w:rsid w:val="0005419E"/>
    <w:rsid w:val="00073449"/>
    <w:rsid w:val="00077659"/>
    <w:rsid w:val="00081BBD"/>
    <w:rsid w:val="000838D4"/>
    <w:rsid w:val="00090CC4"/>
    <w:rsid w:val="00092B3B"/>
    <w:rsid w:val="000956A6"/>
    <w:rsid w:val="000A2010"/>
    <w:rsid w:val="000A26EC"/>
    <w:rsid w:val="000A38E3"/>
    <w:rsid w:val="000A60E9"/>
    <w:rsid w:val="000B13C5"/>
    <w:rsid w:val="000B32D3"/>
    <w:rsid w:val="000B4D6A"/>
    <w:rsid w:val="000B6466"/>
    <w:rsid w:val="000B68F5"/>
    <w:rsid w:val="000B7F34"/>
    <w:rsid w:val="000C38D6"/>
    <w:rsid w:val="000C54EC"/>
    <w:rsid w:val="000D02FD"/>
    <w:rsid w:val="000D091E"/>
    <w:rsid w:val="000D15FE"/>
    <w:rsid w:val="000D7084"/>
    <w:rsid w:val="000E1C41"/>
    <w:rsid w:val="000E4550"/>
    <w:rsid w:val="000E568F"/>
    <w:rsid w:val="000F77C7"/>
    <w:rsid w:val="00101246"/>
    <w:rsid w:val="00102CB6"/>
    <w:rsid w:val="001107AA"/>
    <w:rsid w:val="0012752C"/>
    <w:rsid w:val="001302EC"/>
    <w:rsid w:val="00131EF8"/>
    <w:rsid w:val="00132291"/>
    <w:rsid w:val="00142E48"/>
    <w:rsid w:val="0014335B"/>
    <w:rsid w:val="00144D67"/>
    <w:rsid w:val="00145677"/>
    <w:rsid w:val="00155BCA"/>
    <w:rsid w:val="00155E63"/>
    <w:rsid w:val="00156514"/>
    <w:rsid w:val="00161197"/>
    <w:rsid w:val="0016252B"/>
    <w:rsid w:val="00172A11"/>
    <w:rsid w:val="00174B87"/>
    <w:rsid w:val="001767BB"/>
    <w:rsid w:val="001801DA"/>
    <w:rsid w:val="00180D1E"/>
    <w:rsid w:val="00181896"/>
    <w:rsid w:val="00181FDF"/>
    <w:rsid w:val="00195152"/>
    <w:rsid w:val="001A0591"/>
    <w:rsid w:val="001A1EE2"/>
    <w:rsid w:val="001B0D9C"/>
    <w:rsid w:val="001B7AAA"/>
    <w:rsid w:val="001C09EF"/>
    <w:rsid w:val="001C47FB"/>
    <w:rsid w:val="001D4097"/>
    <w:rsid w:val="001D4C36"/>
    <w:rsid w:val="001D6032"/>
    <w:rsid w:val="001E0D65"/>
    <w:rsid w:val="001E1E5E"/>
    <w:rsid w:val="001E5BC4"/>
    <w:rsid w:val="001E7EE7"/>
    <w:rsid w:val="001F6598"/>
    <w:rsid w:val="00211159"/>
    <w:rsid w:val="00212BB4"/>
    <w:rsid w:val="0021497C"/>
    <w:rsid w:val="00214EB5"/>
    <w:rsid w:val="002151C3"/>
    <w:rsid w:val="002201E0"/>
    <w:rsid w:val="0022388F"/>
    <w:rsid w:val="002244E8"/>
    <w:rsid w:val="00224646"/>
    <w:rsid w:val="0023052B"/>
    <w:rsid w:val="00230847"/>
    <w:rsid w:val="00233442"/>
    <w:rsid w:val="002334E6"/>
    <w:rsid w:val="0024144D"/>
    <w:rsid w:val="002438F1"/>
    <w:rsid w:val="00252AA2"/>
    <w:rsid w:val="00256F8E"/>
    <w:rsid w:val="002666B6"/>
    <w:rsid w:val="00283314"/>
    <w:rsid w:val="00293EC6"/>
    <w:rsid w:val="0029400D"/>
    <w:rsid w:val="002A1C37"/>
    <w:rsid w:val="002A788F"/>
    <w:rsid w:val="002B10DC"/>
    <w:rsid w:val="002B2214"/>
    <w:rsid w:val="002B43B8"/>
    <w:rsid w:val="002B6336"/>
    <w:rsid w:val="002B7281"/>
    <w:rsid w:val="002B73D7"/>
    <w:rsid w:val="002C217C"/>
    <w:rsid w:val="002C2B48"/>
    <w:rsid w:val="002C45F5"/>
    <w:rsid w:val="002C49A9"/>
    <w:rsid w:val="002D3727"/>
    <w:rsid w:val="002D55E9"/>
    <w:rsid w:val="002D6C39"/>
    <w:rsid w:val="002F5FAC"/>
    <w:rsid w:val="00313607"/>
    <w:rsid w:val="00317498"/>
    <w:rsid w:val="0031764B"/>
    <w:rsid w:val="003224BE"/>
    <w:rsid w:val="003313DC"/>
    <w:rsid w:val="00332D87"/>
    <w:rsid w:val="00334D0A"/>
    <w:rsid w:val="00335172"/>
    <w:rsid w:val="00335185"/>
    <w:rsid w:val="003364E5"/>
    <w:rsid w:val="003406F9"/>
    <w:rsid w:val="00341DBB"/>
    <w:rsid w:val="00342B4A"/>
    <w:rsid w:val="00346E58"/>
    <w:rsid w:val="00350CBB"/>
    <w:rsid w:val="00351EBB"/>
    <w:rsid w:val="003546E2"/>
    <w:rsid w:val="0036690C"/>
    <w:rsid w:val="003744A0"/>
    <w:rsid w:val="00374B53"/>
    <w:rsid w:val="0038523E"/>
    <w:rsid w:val="0038784F"/>
    <w:rsid w:val="00392FC8"/>
    <w:rsid w:val="003A1E6D"/>
    <w:rsid w:val="003A5F82"/>
    <w:rsid w:val="003A6235"/>
    <w:rsid w:val="003B4887"/>
    <w:rsid w:val="003B56AD"/>
    <w:rsid w:val="003B58B3"/>
    <w:rsid w:val="003C2D89"/>
    <w:rsid w:val="003C6B15"/>
    <w:rsid w:val="003D1BE0"/>
    <w:rsid w:val="003E213D"/>
    <w:rsid w:val="003E27E3"/>
    <w:rsid w:val="003E3BE5"/>
    <w:rsid w:val="003F5179"/>
    <w:rsid w:val="003F5AFD"/>
    <w:rsid w:val="003F691C"/>
    <w:rsid w:val="003F6F19"/>
    <w:rsid w:val="00400E9F"/>
    <w:rsid w:val="004042E2"/>
    <w:rsid w:val="00411A9C"/>
    <w:rsid w:val="004223DF"/>
    <w:rsid w:val="004252C1"/>
    <w:rsid w:val="0043098D"/>
    <w:rsid w:val="00452114"/>
    <w:rsid w:val="0045290A"/>
    <w:rsid w:val="00462B66"/>
    <w:rsid w:val="004656FC"/>
    <w:rsid w:val="00465E31"/>
    <w:rsid w:val="00467163"/>
    <w:rsid w:val="0047062D"/>
    <w:rsid w:val="00471114"/>
    <w:rsid w:val="00486A06"/>
    <w:rsid w:val="004901B0"/>
    <w:rsid w:val="00492171"/>
    <w:rsid w:val="004A03AD"/>
    <w:rsid w:val="004A0C65"/>
    <w:rsid w:val="004A5785"/>
    <w:rsid w:val="004B5308"/>
    <w:rsid w:val="004B5582"/>
    <w:rsid w:val="004B5D24"/>
    <w:rsid w:val="004C10F1"/>
    <w:rsid w:val="004C14FC"/>
    <w:rsid w:val="004C64DF"/>
    <w:rsid w:val="004D194A"/>
    <w:rsid w:val="004D32BF"/>
    <w:rsid w:val="004D635C"/>
    <w:rsid w:val="004E100B"/>
    <w:rsid w:val="004E346D"/>
    <w:rsid w:val="004E4A07"/>
    <w:rsid w:val="004E66ED"/>
    <w:rsid w:val="004F23A0"/>
    <w:rsid w:val="004F2D5F"/>
    <w:rsid w:val="004F2D9B"/>
    <w:rsid w:val="00503492"/>
    <w:rsid w:val="0050569D"/>
    <w:rsid w:val="0051050F"/>
    <w:rsid w:val="00513287"/>
    <w:rsid w:val="00514E82"/>
    <w:rsid w:val="0051703E"/>
    <w:rsid w:val="005217F6"/>
    <w:rsid w:val="005277F5"/>
    <w:rsid w:val="005321AD"/>
    <w:rsid w:val="005325F6"/>
    <w:rsid w:val="00532CD4"/>
    <w:rsid w:val="00534B6B"/>
    <w:rsid w:val="005435FC"/>
    <w:rsid w:val="005459D8"/>
    <w:rsid w:val="0056448A"/>
    <w:rsid w:val="00566799"/>
    <w:rsid w:val="0056746F"/>
    <w:rsid w:val="005747CC"/>
    <w:rsid w:val="0057549B"/>
    <w:rsid w:val="00581A95"/>
    <w:rsid w:val="005839B9"/>
    <w:rsid w:val="005918FB"/>
    <w:rsid w:val="005A5071"/>
    <w:rsid w:val="005A600F"/>
    <w:rsid w:val="005A767F"/>
    <w:rsid w:val="005B034F"/>
    <w:rsid w:val="005B1B72"/>
    <w:rsid w:val="005B2D84"/>
    <w:rsid w:val="005C1234"/>
    <w:rsid w:val="005C377A"/>
    <w:rsid w:val="005C4549"/>
    <w:rsid w:val="005C65EA"/>
    <w:rsid w:val="005D4804"/>
    <w:rsid w:val="005D5B5C"/>
    <w:rsid w:val="005D6A42"/>
    <w:rsid w:val="005D6A71"/>
    <w:rsid w:val="005D79CD"/>
    <w:rsid w:val="005E06EA"/>
    <w:rsid w:val="005E09DE"/>
    <w:rsid w:val="005E3689"/>
    <w:rsid w:val="005E3DBE"/>
    <w:rsid w:val="005E5A10"/>
    <w:rsid w:val="005F2BC1"/>
    <w:rsid w:val="005F49B1"/>
    <w:rsid w:val="006001D4"/>
    <w:rsid w:val="00603739"/>
    <w:rsid w:val="00607001"/>
    <w:rsid w:val="006254D0"/>
    <w:rsid w:val="00625C59"/>
    <w:rsid w:val="0064060A"/>
    <w:rsid w:val="00643D6A"/>
    <w:rsid w:val="00646769"/>
    <w:rsid w:val="00646DD5"/>
    <w:rsid w:val="00650E99"/>
    <w:rsid w:val="00653FF4"/>
    <w:rsid w:val="00657DD2"/>
    <w:rsid w:val="00660E53"/>
    <w:rsid w:val="0066208F"/>
    <w:rsid w:val="00664E14"/>
    <w:rsid w:val="006712CA"/>
    <w:rsid w:val="00672A42"/>
    <w:rsid w:val="006737D3"/>
    <w:rsid w:val="00681FB9"/>
    <w:rsid w:val="006870DA"/>
    <w:rsid w:val="0069352C"/>
    <w:rsid w:val="00694CE2"/>
    <w:rsid w:val="006952D1"/>
    <w:rsid w:val="006A1CA2"/>
    <w:rsid w:val="006A2F02"/>
    <w:rsid w:val="006A4826"/>
    <w:rsid w:val="006A5F4B"/>
    <w:rsid w:val="006A6557"/>
    <w:rsid w:val="006A74ED"/>
    <w:rsid w:val="006B4FB1"/>
    <w:rsid w:val="006C05B3"/>
    <w:rsid w:val="006C14E6"/>
    <w:rsid w:val="006C3F8D"/>
    <w:rsid w:val="006C7033"/>
    <w:rsid w:val="006C7280"/>
    <w:rsid w:val="006D0B6A"/>
    <w:rsid w:val="006D32FA"/>
    <w:rsid w:val="006D71AA"/>
    <w:rsid w:val="006E1540"/>
    <w:rsid w:val="006E5643"/>
    <w:rsid w:val="006F6516"/>
    <w:rsid w:val="0070436F"/>
    <w:rsid w:val="00704BC2"/>
    <w:rsid w:val="00705E88"/>
    <w:rsid w:val="00720EAF"/>
    <w:rsid w:val="0072321B"/>
    <w:rsid w:val="0072410B"/>
    <w:rsid w:val="00724774"/>
    <w:rsid w:val="00730373"/>
    <w:rsid w:val="00731D35"/>
    <w:rsid w:val="00733843"/>
    <w:rsid w:val="00735528"/>
    <w:rsid w:val="00736E33"/>
    <w:rsid w:val="007444E3"/>
    <w:rsid w:val="007451E7"/>
    <w:rsid w:val="00761AAB"/>
    <w:rsid w:val="007664A7"/>
    <w:rsid w:val="00772538"/>
    <w:rsid w:val="007731BB"/>
    <w:rsid w:val="00774F52"/>
    <w:rsid w:val="00774F70"/>
    <w:rsid w:val="007763FC"/>
    <w:rsid w:val="00776DFC"/>
    <w:rsid w:val="00781930"/>
    <w:rsid w:val="00781963"/>
    <w:rsid w:val="00784A1B"/>
    <w:rsid w:val="00784A5B"/>
    <w:rsid w:val="007905ED"/>
    <w:rsid w:val="007906B9"/>
    <w:rsid w:val="00790EDA"/>
    <w:rsid w:val="00792443"/>
    <w:rsid w:val="007A23F0"/>
    <w:rsid w:val="007A43E0"/>
    <w:rsid w:val="007A4ED4"/>
    <w:rsid w:val="007A73D0"/>
    <w:rsid w:val="007B2040"/>
    <w:rsid w:val="007B54E4"/>
    <w:rsid w:val="007C2257"/>
    <w:rsid w:val="007C756C"/>
    <w:rsid w:val="007D1E86"/>
    <w:rsid w:val="007D20F1"/>
    <w:rsid w:val="007D4625"/>
    <w:rsid w:val="007D4792"/>
    <w:rsid w:val="007D5A8E"/>
    <w:rsid w:val="007D5D88"/>
    <w:rsid w:val="007D74E5"/>
    <w:rsid w:val="007E1372"/>
    <w:rsid w:val="007E3277"/>
    <w:rsid w:val="007E55EE"/>
    <w:rsid w:val="007E7A7D"/>
    <w:rsid w:val="007F106B"/>
    <w:rsid w:val="007F1231"/>
    <w:rsid w:val="007F167E"/>
    <w:rsid w:val="007F3B26"/>
    <w:rsid w:val="007F636B"/>
    <w:rsid w:val="007F6979"/>
    <w:rsid w:val="007F6F0E"/>
    <w:rsid w:val="007F6FF6"/>
    <w:rsid w:val="00801B6A"/>
    <w:rsid w:val="0080319E"/>
    <w:rsid w:val="00804E24"/>
    <w:rsid w:val="008103DF"/>
    <w:rsid w:val="00811280"/>
    <w:rsid w:val="008116C8"/>
    <w:rsid w:val="008302AD"/>
    <w:rsid w:val="0083293F"/>
    <w:rsid w:val="0084343C"/>
    <w:rsid w:val="00844086"/>
    <w:rsid w:val="00844D92"/>
    <w:rsid w:val="00844DB2"/>
    <w:rsid w:val="0084595F"/>
    <w:rsid w:val="0084774A"/>
    <w:rsid w:val="00850825"/>
    <w:rsid w:val="0085308D"/>
    <w:rsid w:val="00861A7B"/>
    <w:rsid w:val="00862A2A"/>
    <w:rsid w:val="00864D16"/>
    <w:rsid w:val="00864E11"/>
    <w:rsid w:val="0087657F"/>
    <w:rsid w:val="00882128"/>
    <w:rsid w:val="008860E2"/>
    <w:rsid w:val="0088636D"/>
    <w:rsid w:val="0088723F"/>
    <w:rsid w:val="00891429"/>
    <w:rsid w:val="00892B44"/>
    <w:rsid w:val="008A5515"/>
    <w:rsid w:val="008B12B1"/>
    <w:rsid w:val="008B432E"/>
    <w:rsid w:val="008B463D"/>
    <w:rsid w:val="008C47E5"/>
    <w:rsid w:val="008C74A8"/>
    <w:rsid w:val="008D034C"/>
    <w:rsid w:val="008D55B8"/>
    <w:rsid w:val="008F02F8"/>
    <w:rsid w:val="008F1064"/>
    <w:rsid w:val="008F1B46"/>
    <w:rsid w:val="008F454E"/>
    <w:rsid w:val="008F4FCC"/>
    <w:rsid w:val="00905304"/>
    <w:rsid w:val="00905B65"/>
    <w:rsid w:val="009071B8"/>
    <w:rsid w:val="00911119"/>
    <w:rsid w:val="00914E57"/>
    <w:rsid w:val="00916108"/>
    <w:rsid w:val="0092593A"/>
    <w:rsid w:val="0094687B"/>
    <w:rsid w:val="009501A1"/>
    <w:rsid w:val="00961711"/>
    <w:rsid w:val="0096527A"/>
    <w:rsid w:val="00966331"/>
    <w:rsid w:val="00981281"/>
    <w:rsid w:val="009815C5"/>
    <w:rsid w:val="00983ACD"/>
    <w:rsid w:val="00986673"/>
    <w:rsid w:val="00986D5F"/>
    <w:rsid w:val="00987E22"/>
    <w:rsid w:val="009A3E9E"/>
    <w:rsid w:val="009A47CC"/>
    <w:rsid w:val="009B5150"/>
    <w:rsid w:val="009C0AB3"/>
    <w:rsid w:val="009C2608"/>
    <w:rsid w:val="009D4A17"/>
    <w:rsid w:val="009F1E42"/>
    <w:rsid w:val="009F3185"/>
    <w:rsid w:val="00A02654"/>
    <w:rsid w:val="00A02C13"/>
    <w:rsid w:val="00A02EBA"/>
    <w:rsid w:val="00A0584F"/>
    <w:rsid w:val="00A05C79"/>
    <w:rsid w:val="00A12A17"/>
    <w:rsid w:val="00A12F4A"/>
    <w:rsid w:val="00A13222"/>
    <w:rsid w:val="00A238A0"/>
    <w:rsid w:val="00A25D5D"/>
    <w:rsid w:val="00A33342"/>
    <w:rsid w:val="00A429B3"/>
    <w:rsid w:val="00A42E9E"/>
    <w:rsid w:val="00A479AD"/>
    <w:rsid w:val="00A50F13"/>
    <w:rsid w:val="00A51317"/>
    <w:rsid w:val="00A54C57"/>
    <w:rsid w:val="00A62ABD"/>
    <w:rsid w:val="00A64C38"/>
    <w:rsid w:val="00A66464"/>
    <w:rsid w:val="00A67F4E"/>
    <w:rsid w:val="00A7099F"/>
    <w:rsid w:val="00A70C35"/>
    <w:rsid w:val="00A74896"/>
    <w:rsid w:val="00A76487"/>
    <w:rsid w:val="00A77EDE"/>
    <w:rsid w:val="00A77F85"/>
    <w:rsid w:val="00A84A48"/>
    <w:rsid w:val="00A90460"/>
    <w:rsid w:val="00A912D9"/>
    <w:rsid w:val="00A938FD"/>
    <w:rsid w:val="00A955BD"/>
    <w:rsid w:val="00A97ADA"/>
    <w:rsid w:val="00AA51AC"/>
    <w:rsid w:val="00AB0A28"/>
    <w:rsid w:val="00AC1D75"/>
    <w:rsid w:val="00AC2C0E"/>
    <w:rsid w:val="00AC42D4"/>
    <w:rsid w:val="00AD2AEF"/>
    <w:rsid w:val="00AE1994"/>
    <w:rsid w:val="00AE3E5D"/>
    <w:rsid w:val="00AE413E"/>
    <w:rsid w:val="00AE6E5D"/>
    <w:rsid w:val="00AF7981"/>
    <w:rsid w:val="00B04FC7"/>
    <w:rsid w:val="00B075CF"/>
    <w:rsid w:val="00B14931"/>
    <w:rsid w:val="00B16B37"/>
    <w:rsid w:val="00B31017"/>
    <w:rsid w:val="00B32840"/>
    <w:rsid w:val="00B37346"/>
    <w:rsid w:val="00B40B45"/>
    <w:rsid w:val="00B42177"/>
    <w:rsid w:val="00B4372E"/>
    <w:rsid w:val="00B4398B"/>
    <w:rsid w:val="00B65D1D"/>
    <w:rsid w:val="00B8314B"/>
    <w:rsid w:val="00B84C08"/>
    <w:rsid w:val="00B8758A"/>
    <w:rsid w:val="00B87C0B"/>
    <w:rsid w:val="00B9179E"/>
    <w:rsid w:val="00B93EEC"/>
    <w:rsid w:val="00BA026F"/>
    <w:rsid w:val="00BA0E9C"/>
    <w:rsid w:val="00BA2266"/>
    <w:rsid w:val="00BA58AB"/>
    <w:rsid w:val="00BA5FDE"/>
    <w:rsid w:val="00BC01BF"/>
    <w:rsid w:val="00BC0777"/>
    <w:rsid w:val="00BC3216"/>
    <w:rsid w:val="00BC4B7A"/>
    <w:rsid w:val="00BD6C4C"/>
    <w:rsid w:val="00BE2521"/>
    <w:rsid w:val="00BE3B39"/>
    <w:rsid w:val="00BE493F"/>
    <w:rsid w:val="00BE5F4E"/>
    <w:rsid w:val="00BE664A"/>
    <w:rsid w:val="00BE6E6D"/>
    <w:rsid w:val="00BF17FD"/>
    <w:rsid w:val="00BF4860"/>
    <w:rsid w:val="00BF55B1"/>
    <w:rsid w:val="00C04C78"/>
    <w:rsid w:val="00C103ED"/>
    <w:rsid w:val="00C170C3"/>
    <w:rsid w:val="00C234A8"/>
    <w:rsid w:val="00C24828"/>
    <w:rsid w:val="00C27BD2"/>
    <w:rsid w:val="00C344EC"/>
    <w:rsid w:val="00C36E19"/>
    <w:rsid w:val="00C40E01"/>
    <w:rsid w:val="00C41928"/>
    <w:rsid w:val="00C50AFE"/>
    <w:rsid w:val="00C6105D"/>
    <w:rsid w:val="00C61AEF"/>
    <w:rsid w:val="00C7028C"/>
    <w:rsid w:val="00C72054"/>
    <w:rsid w:val="00C7489D"/>
    <w:rsid w:val="00C85776"/>
    <w:rsid w:val="00C872A6"/>
    <w:rsid w:val="00C92524"/>
    <w:rsid w:val="00C94810"/>
    <w:rsid w:val="00CA227D"/>
    <w:rsid w:val="00CA23BE"/>
    <w:rsid w:val="00CA2C6E"/>
    <w:rsid w:val="00CA4736"/>
    <w:rsid w:val="00CB092E"/>
    <w:rsid w:val="00CB6597"/>
    <w:rsid w:val="00CC6832"/>
    <w:rsid w:val="00CD3272"/>
    <w:rsid w:val="00CD7DD3"/>
    <w:rsid w:val="00CF0E86"/>
    <w:rsid w:val="00CF3586"/>
    <w:rsid w:val="00D00B48"/>
    <w:rsid w:val="00D01497"/>
    <w:rsid w:val="00D046A8"/>
    <w:rsid w:val="00D07128"/>
    <w:rsid w:val="00D106A9"/>
    <w:rsid w:val="00D11486"/>
    <w:rsid w:val="00D11C52"/>
    <w:rsid w:val="00D12F1A"/>
    <w:rsid w:val="00D2045D"/>
    <w:rsid w:val="00D24AED"/>
    <w:rsid w:val="00D418D4"/>
    <w:rsid w:val="00D43165"/>
    <w:rsid w:val="00D45544"/>
    <w:rsid w:val="00D46D87"/>
    <w:rsid w:val="00D4760C"/>
    <w:rsid w:val="00D506D6"/>
    <w:rsid w:val="00D5144E"/>
    <w:rsid w:val="00D53524"/>
    <w:rsid w:val="00D5447A"/>
    <w:rsid w:val="00D63508"/>
    <w:rsid w:val="00D638BC"/>
    <w:rsid w:val="00D75AEB"/>
    <w:rsid w:val="00D81582"/>
    <w:rsid w:val="00D91405"/>
    <w:rsid w:val="00D9741F"/>
    <w:rsid w:val="00DA1ACE"/>
    <w:rsid w:val="00DA3C06"/>
    <w:rsid w:val="00DA6A68"/>
    <w:rsid w:val="00DA6DA6"/>
    <w:rsid w:val="00DB4373"/>
    <w:rsid w:val="00DB4623"/>
    <w:rsid w:val="00DB5D59"/>
    <w:rsid w:val="00DC4FE7"/>
    <w:rsid w:val="00DC65AF"/>
    <w:rsid w:val="00DC6B05"/>
    <w:rsid w:val="00DC71CA"/>
    <w:rsid w:val="00DC7DD5"/>
    <w:rsid w:val="00DD0EBE"/>
    <w:rsid w:val="00DE05FE"/>
    <w:rsid w:val="00DF234D"/>
    <w:rsid w:val="00DF59F0"/>
    <w:rsid w:val="00E033DD"/>
    <w:rsid w:val="00E21E38"/>
    <w:rsid w:val="00E23E62"/>
    <w:rsid w:val="00E242CC"/>
    <w:rsid w:val="00E25CC1"/>
    <w:rsid w:val="00E31B62"/>
    <w:rsid w:val="00E3749C"/>
    <w:rsid w:val="00E47FCB"/>
    <w:rsid w:val="00E56A9F"/>
    <w:rsid w:val="00E57AEC"/>
    <w:rsid w:val="00E6020B"/>
    <w:rsid w:val="00E618B5"/>
    <w:rsid w:val="00E61ACD"/>
    <w:rsid w:val="00E73CDC"/>
    <w:rsid w:val="00E754DC"/>
    <w:rsid w:val="00E759A6"/>
    <w:rsid w:val="00E77CCE"/>
    <w:rsid w:val="00E87781"/>
    <w:rsid w:val="00E900B8"/>
    <w:rsid w:val="00E9017E"/>
    <w:rsid w:val="00E9347F"/>
    <w:rsid w:val="00E953B3"/>
    <w:rsid w:val="00E97386"/>
    <w:rsid w:val="00EA097C"/>
    <w:rsid w:val="00EA1312"/>
    <w:rsid w:val="00EA31AA"/>
    <w:rsid w:val="00EA6E10"/>
    <w:rsid w:val="00EB4D00"/>
    <w:rsid w:val="00EB62C2"/>
    <w:rsid w:val="00EC0214"/>
    <w:rsid w:val="00EC2646"/>
    <w:rsid w:val="00EC4DD1"/>
    <w:rsid w:val="00EC7A73"/>
    <w:rsid w:val="00ED112E"/>
    <w:rsid w:val="00ED4793"/>
    <w:rsid w:val="00ED49DC"/>
    <w:rsid w:val="00ED4FF5"/>
    <w:rsid w:val="00ED75EE"/>
    <w:rsid w:val="00EE200D"/>
    <w:rsid w:val="00EE34FA"/>
    <w:rsid w:val="00EE54FB"/>
    <w:rsid w:val="00EE5960"/>
    <w:rsid w:val="00EE71CF"/>
    <w:rsid w:val="00EF0000"/>
    <w:rsid w:val="00EF3428"/>
    <w:rsid w:val="00F003D9"/>
    <w:rsid w:val="00F144CA"/>
    <w:rsid w:val="00F15F3B"/>
    <w:rsid w:val="00F32128"/>
    <w:rsid w:val="00F32CB4"/>
    <w:rsid w:val="00F330BF"/>
    <w:rsid w:val="00F346A4"/>
    <w:rsid w:val="00F35F25"/>
    <w:rsid w:val="00F37E75"/>
    <w:rsid w:val="00F40040"/>
    <w:rsid w:val="00F4207F"/>
    <w:rsid w:val="00F43BC5"/>
    <w:rsid w:val="00F47981"/>
    <w:rsid w:val="00F47DCA"/>
    <w:rsid w:val="00F54694"/>
    <w:rsid w:val="00F60CF5"/>
    <w:rsid w:val="00F62186"/>
    <w:rsid w:val="00F70C69"/>
    <w:rsid w:val="00F70C8A"/>
    <w:rsid w:val="00F75A55"/>
    <w:rsid w:val="00F77674"/>
    <w:rsid w:val="00F77F29"/>
    <w:rsid w:val="00F8112B"/>
    <w:rsid w:val="00F83557"/>
    <w:rsid w:val="00F92951"/>
    <w:rsid w:val="00F94137"/>
    <w:rsid w:val="00F96BFE"/>
    <w:rsid w:val="00FA0582"/>
    <w:rsid w:val="00FA18B9"/>
    <w:rsid w:val="00FA267E"/>
    <w:rsid w:val="00FA2AD7"/>
    <w:rsid w:val="00FA5089"/>
    <w:rsid w:val="00FA5399"/>
    <w:rsid w:val="00FA6807"/>
    <w:rsid w:val="00FB1E6B"/>
    <w:rsid w:val="00FB5A5B"/>
    <w:rsid w:val="00FC2FC4"/>
    <w:rsid w:val="00FD37E1"/>
    <w:rsid w:val="00FD3C58"/>
    <w:rsid w:val="00FD470C"/>
    <w:rsid w:val="00FD53F0"/>
    <w:rsid w:val="00FD628B"/>
    <w:rsid w:val="00FE530B"/>
    <w:rsid w:val="00FE65D9"/>
    <w:rsid w:val="00FE7688"/>
    <w:rsid w:val="00FF26AC"/>
    <w:rsid w:val="00FF4E34"/>
    <w:rsid w:val="00FF7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4D1BE10"/>
  <w15:docId w15:val="{8F0C7C51-0E06-4B96-8FCC-D566FFD1B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9"/>
        <w:szCs w:val="19"/>
        <w:lang w:val="en-GB" w:eastAsia="en-US"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0" w:qFormat="1"/>
    <w:lsdException w:name="heading 3" w:semiHidden="1" w:uiPriority="5" w:qFormat="1"/>
    <w:lsdException w:name="heading 4" w:semiHidden="1" w:uiPriority="6"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18"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8" w:qFormat="1"/>
    <w:lsdException w:name="List Number" w:semiHidden="1" w:uiPriority="10" w:qFormat="1"/>
    <w:lsdException w:name="List 2" w:semiHidden="1"/>
    <w:lsdException w:name="List 3" w:semiHidden="1"/>
    <w:lsdException w:name="List 4" w:semiHidden="1"/>
    <w:lsdException w:name="List 5" w:semiHidden="1"/>
    <w:lsdException w:name="List Bullet 2" w:semiHidden="1" w:uiPriority="9" w:qFormat="1"/>
    <w:lsdException w:name="List Bullet 3" w:semiHidden="1" w:unhideWhenUsed="1"/>
    <w:lsdException w:name="List Bullet 4" w:semiHidden="1"/>
    <w:lsdException w:name="List Bullet 5" w:semiHidden="1"/>
    <w:lsdException w:name="List Number 2" w:semiHidden="1" w:uiPriority="1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A18B9"/>
    <w:rPr>
      <w:sz w:val="20"/>
    </w:rPr>
  </w:style>
  <w:style w:type="paragraph" w:styleId="Heading1">
    <w:name w:val="heading 1"/>
    <w:aliases w:val="Section head"/>
    <w:basedOn w:val="Normal"/>
    <w:next w:val="Heading2"/>
    <w:link w:val="Heading1Char"/>
    <w:uiPriority w:val="2"/>
    <w:qFormat/>
    <w:rsid w:val="009A3E9E"/>
    <w:pPr>
      <w:keepNext/>
      <w:numPr>
        <w:numId w:val="16"/>
      </w:numPr>
      <w:tabs>
        <w:tab w:val="left" w:pos="709"/>
        <w:tab w:val="left" w:pos="879"/>
      </w:tabs>
      <w:spacing w:before="360" w:after="240"/>
      <w:outlineLvl w:val="0"/>
    </w:pPr>
    <w:rPr>
      <w:kern w:val="32"/>
      <w:sz w:val="36"/>
    </w:rPr>
  </w:style>
  <w:style w:type="paragraph" w:styleId="Heading2">
    <w:name w:val="heading 2"/>
    <w:aliases w:val="Subheading"/>
    <w:basedOn w:val="Normal"/>
    <w:next w:val="BodyText"/>
    <w:link w:val="Heading2Char"/>
    <w:qFormat/>
    <w:rsid w:val="00905B65"/>
    <w:pPr>
      <w:keepNext/>
      <w:keepLines/>
      <w:spacing w:before="120" w:after="240"/>
      <w:outlineLvl w:val="1"/>
    </w:pPr>
    <w:rPr>
      <w:rFonts w:eastAsiaTheme="majorEastAsia" w:cstheme="majorBidi"/>
      <w:bCs/>
      <w:color w:val="439539" w:themeColor="accent2"/>
      <w:sz w:val="24"/>
      <w:szCs w:val="26"/>
    </w:rPr>
  </w:style>
  <w:style w:type="paragraph" w:styleId="Heading3">
    <w:name w:val="heading 3"/>
    <w:aliases w:val="Subheading 2"/>
    <w:basedOn w:val="Normal"/>
    <w:next w:val="BodyText"/>
    <w:link w:val="Heading3Char"/>
    <w:uiPriority w:val="5"/>
    <w:qFormat/>
    <w:rsid w:val="00905B65"/>
    <w:pPr>
      <w:keepNext/>
      <w:keepLines/>
      <w:spacing w:before="120" w:after="240"/>
      <w:outlineLvl w:val="2"/>
    </w:pPr>
    <w:rPr>
      <w:rFonts w:eastAsiaTheme="majorEastAsia" w:cstheme="majorBidi"/>
      <w:b/>
      <w:bCs/>
    </w:rPr>
  </w:style>
  <w:style w:type="paragraph" w:styleId="Heading4">
    <w:name w:val="heading 4"/>
    <w:aliases w:val="Subheading 3"/>
    <w:basedOn w:val="Normal"/>
    <w:next w:val="BodyText"/>
    <w:link w:val="Heading4Char"/>
    <w:uiPriority w:val="6"/>
    <w:qFormat/>
    <w:rsid w:val="00905B65"/>
    <w:pPr>
      <w:keepNext/>
      <w:keepLines/>
      <w:spacing w:before="120" w:after="240"/>
      <w:outlineLvl w:val="3"/>
    </w:pPr>
    <w:rPr>
      <w:rFonts w:eastAsiaTheme="majorEastAsia" w:cstheme="majorBidi"/>
      <w:b/>
      <w:bCs/>
      <w:iCs/>
      <w:color w:val="A6CE3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basedOn w:val="DefaultParagraphFont"/>
    <w:link w:val="Heading1"/>
    <w:uiPriority w:val="2"/>
    <w:rsid w:val="009A3E9E"/>
    <w:rPr>
      <w:kern w:val="32"/>
      <w:sz w:val="36"/>
    </w:rPr>
  </w:style>
  <w:style w:type="character" w:styleId="PageNumber">
    <w:name w:val="page number"/>
    <w:basedOn w:val="DefaultParagraphFont"/>
    <w:semiHidden/>
    <w:rsid w:val="00EC7A73"/>
    <w:rPr>
      <w:rFonts w:ascii="Arial" w:hAnsi="Arial"/>
      <w:noProof w:val="0"/>
      <w:color w:val="72B633"/>
      <w:sz w:val="22"/>
      <w:lang w:val="en-GB"/>
    </w:rPr>
  </w:style>
  <w:style w:type="paragraph" w:styleId="Header">
    <w:name w:val="header"/>
    <w:basedOn w:val="Normal"/>
    <w:link w:val="HeaderChar"/>
    <w:semiHidden/>
    <w:rsid w:val="00EC7A73"/>
    <w:pPr>
      <w:pBdr>
        <w:bottom w:val="single" w:sz="8" w:space="1" w:color="A6A6A6" w:themeColor="accent4"/>
      </w:pBdr>
      <w:tabs>
        <w:tab w:val="right" w:pos="9639"/>
      </w:tabs>
      <w:spacing w:line="240" w:lineRule="exact"/>
    </w:pPr>
    <w:rPr>
      <w:color w:val="A6CE39" w:themeColor="accent1"/>
    </w:rPr>
  </w:style>
  <w:style w:type="character" w:customStyle="1" w:styleId="HeaderChar">
    <w:name w:val="Header Char"/>
    <w:basedOn w:val="DefaultParagraphFont"/>
    <w:link w:val="Header"/>
    <w:semiHidden/>
    <w:rsid w:val="002D55E9"/>
    <w:rPr>
      <w:color w:val="A6CE39" w:themeColor="accent1"/>
      <w:sz w:val="20"/>
    </w:rPr>
  </w:style>
  <w:style w:type="paragraph" w:styleId="Footer">
    <w:name w:val="footer"/>
    <w:basedOn w:val="Normal"/>
    <w:link w:val="FooterChar"/>
    <w:uiPriority w:val="99"/>
    <w:rsid w:val="00EC7A73"/>
    <w:pPr>
      <w:jc w:val="right"/>
    </w:pPr>
    <w:rPr>
      <w:rFonts w:cs="Arial"/>
      <w:color w:val="BFBFBF" w:themeColor="background1" w:themeShade="BF"/>
      <w:sz w:val="14"/>
      <w:szCs w:val="14"/>
    </w:rPr>
  </w:style>
  <w:style w:type="character" w:customStyle="1" w:styleId="FooterChar">
    <w:name w:val="Footer Char"/>
    <w:basedOn w:val="DefaultParagraphFont"/>
    <w:link w:val="Footer"/>
    <w:uiPriority w:val="99"/>
    <w:rsid w:val="002D55E9"/>
    <w:rPr>
      <w:rFonts w:cs="Arial"/>
      <w:color w:val="BFBFBF" w:themeColor="background1" w:themeShade="BF"/>
      <w:sz w:val="14"/>
      <w:szCs w:val="14"/>
    </w:rPr>
  </w:style>
  <w:style w:type="paragraph" w:customStyle="1" w:styleId="Client">
    <w:name w:val="Client"/>
    <w:basedOn w:val="Normal"/>
    <w:semiHidden/>
    <w:rsid w:val="00EC7A73"/>
    <w:rPr>
      <w:color w:val="404040" w:themeColor="accent5"/>
      <w:sz w:val="32"/>
    </w:rPr>
  </w:style>
  <w:style w:type="character" w:styleId="Hyperlink">
    <w:name w:val="Hyperlink"/>
    <w:basedOn w:val="DefaultParagraphFont"/>
    <w:uiPriority w:val="99"/>
    <w:rsid w:val="00EC7A73"/>
    <w:rPr>
      <w:rFonts w:ascii="Arial" w:hAnsi="Arial"/>
      <w:noProof w:val="0"/>
      <w:color w:val="0000FF"/>
      <w:sz w:val="28"/>
      <w:u w:val="single"/>
      <w:lang w:val="en-GB"/>
    </w:rPr>
  </w:style>
  <w:style w:type="paragraph" w:customStyle="1" w:styleId="ContactDetailsHeading">
    <w:name w:val="Contact Details Heading"/>
    <w:basedOn w:val="Client"/>
    <w:next w:val="ContactDetails"/>
    <w:semiHidden/>
    <w:rsid w:val="001107AA"/>
    <w:pPr>
      <w:spacing w:before="360" w:after="120"/>
    </w:pPr>
    <w:rPr>
      <w:color w:val="808080"/>
      <w:sz w:val="24"/>
    </w:rPr>
  </w:style>
  <w:style w:type="paragraph" w:customStyle="1" w:styleId="ContactDetails">
    <w:name w:val="Contact Details"/>
    <w:basedOn w:val="ContactDetailsHeading"/>
    <w:semiHidden/>
    <w:rsid w:val="001107AA"/>
    <w:pPr>
      <w:spacing w:before="0" w:after="0"/>
    </w:pPr>
    <w:rPr>
      <w:color w:val="000000"/>
      <w:sz w:val="20"/>
    </w:rPr>
  </w:style>
  <w:style w:type="character" w:customStyle="1" w:styleId="DocOwnFooter">
    <w:name w:val="DocOwnFooter"/>
    <w:basedOn w:val="DefaultParagraphFont"/>
    <w:semiHidden/>
    <w:rsid w:val="00EC7A73"/>
    <w:rPr>
      <w:rFonts w:ascii="Arial" w:hAnsi="Arial"/>
      <w:color w:val="808080"/>
      <w:sz w:val="20"/>
    </w:rPr>
  </w:style>
  <w:style w:type="table" w:styleId="TableGrid">
    <w:name w:val="Table Grid"/>
    <w:basedOn w:val="TableNormal"/>
    <w:uiPriority w:val="59"/>
    <w:rsid w:val="00FA18B9"/>
    <w:rPr>
      <w:rFonts w:eastAsia="Times"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F2 Body Text,Document,Doc,Body Text2,doc,Standard paragraph,Text,BodyText,(Norm),Body Text 12,bt,gl,uvlaka 2,heading3,Body Text - Level 2,Corps de texte,1body,BodText,body text,Body Txt,Body Text-10,Τίτλος Μελέτης,- TF, (Norm),Text Char1"/>
    <w:basedOn w:val="Normal"/>
    <w:link w:val="BodyTextChar"/>
    <w:qFormat/>
    <w:rsid w:val="00513287"/>
    <w:pPr>
      <w:spacing w:after="240" w:line="288" w:lineRule="auto"/>
    </w:pPr>
  </w:style>
  <w:style w:type="character" w:customStyle="1" w:styleId="BodyTextChar">
    <w:name w:val="Body Text Char"/>
    <w:aliases w:val="F2 Body Text Char,Document Char,Doc Char,Body Text2 Char,doc Char,Standard paragraph Char,Text Char,BodyText Char,(Norm) Char,Body Text 12 Char,bt Char,gl Char,uvlaka 2 Char,heading3 Char,Body Text - Level 2 Char,Corps de texte Char"/>
    <w:basedOn w:val="DefaultParagraphFont"/>
    <w:link w:val="BodyText"/>
    <w:rsid w:val="002D55E9"/>
  </w:style>
  <w:style w:type="paragraph" w:styleId="Title">
    <w:name w:val="Title"/>
    <w:basedOn w:val="Normal"/>
    <w:next w:val="Normal"/>
    <w:link w:val="TitleChar"/>
    <w:uiPriority w:val="10"/>
    <w:qFormat/>
    <w:rsid w:val="00A12A17"/>
    <w:pPr>
      <w:spacing w:line="520" w:lineRule="exact"/>
    </w:pPr>
    <w:rPr>
      <w:color w:val="A6CE39" w:themeColor="background2"/>
      <w:sz w:val="48"/>
      <w:lang w:val="en-US"/>
    </w:rPr>
  </w:style>
  <w:style w:type="character" w:customStyle="1" w:styleId="TitleChar">
    <w:name w:val="Title Char"/>
    <w:basedOn w:val="DefaultParagraphFont"/>
    <w:link w:val="Title"/>
    <w:uiPriority w:val="10"/>
    <w:rsid w:val="00A12A17"/>
    <w:rPr>
      <w:color w:val="A6CE39" w:themeColor="background2"/>
      <w:sz w:val="48"/>
      <w:lang w:val="en-US"/>
    </w:rPr>
  </w:style>
  <w:style w:type="paragraph" w:styleId="Date">
    <w:name w:val="Date"/>
    <w:basedOn w:val="Client"/>
    <w:next w:val="Normal"/>
    <w:link w:val="DateChar"/>
    <w:uiPriority w:val="99"/>
    <w:semiHidden/>
    <w:rsid w:val="00EC7A73"/>
    <w:rPr>
      <w:b/>
      <w:color w:val="auto"/>
      <w:sz w:val="24"/>
      <w:szCs w:val="24"/>
    </w:rPr>
  </w:style>
  <w:style w:type="character" w:customStyle="1" w:styleId="DateChar">
    <w:name w:val="Date Char"/>
    <w:basedOn w:val="DefaultParagraphFont"/>
    <w:link w:val="Date"/>
    <w:uiPriority w:val="99"/>
    <w:semiHidden/>
    <w:rsid w:val="002D55E9"/>
    <w:rPr>
      <w:b/>
      <w:sz w:val="24"/>
      <w:szCs w:val="24"/>
    </w:rPr>
  </w:style>
  <w:style w:type="character" w:customStyle="1" w:styleId="Heading2Char">
    <w:name w:val="Heading 2 Char"/>
    <w:aliases w:val="Subheading Char"/>
    <w:basedOn w:val="DefaultParagraphFont"/>
    <w:link w:val="Heading2"/>
    <w:uiPriority w:val="4"/>
    <w:rsid w:val="00905B65"/>
    <w:rPr>
      <w:rFonts w:eastAsiaTheme="majorEastAsia" w:cstheme="majorBidi"/>
      <w:bCs/>
      <w:color w:val="439539" w:themeColor="accent2"/>
      <w:sz w:val="24"/>
      <w:szCs w:val="26"/>
    </w:rPr>
  </w:style>
  <w:style w:type="character" w:customStyle="1" w:styleId="Heading3Char">
    <w:name w:val="Heading 3 Char"/>
    <w:aliases w:val="Subheading 2 Char"/>
    <w:basedOn w:val="DefaultParagraphFont"/>
    <w:link w:val="Heading3"/>
    <w:uiPriority w:val="5"/>
    <w:rsid w:val="00905B65"/>
    <w:rPr>
      <w:rFonts w:eastAsiaTheme="majorEastAsia" w:cstheme="majorBidi"/>
      <w:b/>
      <w:bCs/>
      <w:sz w:val="20"/>
    </w:rPr>
  </w:style>
  <w:style w:type="paragraph" w:styleId="TOC1">
    <w:name w:val="toc 1"/>
    <w:basedOn w:val="Normal"/>
    <w:next w:val="Normal"/>
    <w:autoRedefine/>
    <w:uiPriority w:val="39"/>
    <w:rsid w:val="00BF55B1"/>
    <w:pPr>
      <w:pBdr>
        <w:top w:val="single" w:sz="12" w:space="4" w:color="A6CE39" w:themeColor="accent1"/>
      </w:pBdr>
      <w:tabs>
        <w:tab w:val="left" w:pos="993"/>
        <w:tab w:val="right" w:pos="7655"/>
      </w:tabs>
      <w:spacing w:before="120"/>
      <w:ind w:left="964" w:right="958" w:hanging="397"/>
    </w:pPr>
    <w:rPr>
      <w:noProof/>
      <w:color w:val="A6CE39" w:themeColor="accent1"/>
      <w:sz w:val="24"/>
    </w:rPr>
  </w:style>
  <w:style w:type="paragraph" w:styleId="TOC2">
    <w:name w:val="toc 2"/>
    <w:basedOn w:val="Normal"/>
    <w:next w:val="Normal"/>
    <w:autoRedefine/>
    <w:uiPriority w:val="39"/>
    <w:rsid w:val="00BF55B1"/>
    <w:pPr>
      <w:tabs>
        <w:tab w:val="left" w:pos="993"/>
        <w:tab w:val="right" w:pos="7655"/>
      </w:tabs>
      <w:ind w:left="964" w:right="958"/>
    </w:pPr>
    <w:rPr>
      <w:noProof/>
    </w:rPr>
  </w:style>
  <w:style w:type="paragraph" w:styleId="TOC3">
    <w:name w:val="toc 3"/>
    <w:basedOn w:val="Normal"/>
    <w:next w:val="Normal"/>
    <w:autoRedefine/>
    <w:uiPriority w:val="39"/>
    <w:rsid w:val="00BF55B1"/>
    <w:pPr>
      <w:tabs>
        <w:tab w:val="left" w:pos="993"/>
        <w:tab w:val="right" w:pos="7655"/>
      </w:tabs>
      <w:ind w:left="964" w:right="958"/>
    </w:pPr>
    <w:rPr>
      <w:noProof/>
    </w:rPr>
  </w:style>
  <w:style w:type="paragraph" w:styleId="ListParagraph">
    <w:name w:val="List Paragraph"/>
    <w:aliases w:val="Dot pt,List Paragraph Char Char Char,Indicator Text,List Paragraph1,Numbered Para 1,No Spacing1,List Paragraph12,Bullet Points,MAIN CONTENT,Bullet Style,OBC Bullet,List Paragraph11,Colorful List - Accent 11,L,Bullet,F5 List Paragraph"/>
    <w:basedOn w:val="Normal"/>
    <w:link w:val="ListParagraphChar"/>
    <w:uiPriority w:val="34"/>
    <w:qFormat/>
    <w:rsid w:val="00B8314B"/>
    <w:pPr>
      <w:ind w:left="720"/>
      <w:contextualSpacing/>
    </w:pPr>
  </w:style>
  <w:style w:type="paragraph" w:styleId="ListBullet">
    <w:name w:val="List Bullet"/>
    <w:aliases w:val="Bullet 1"/>
    <w:basedOn w:val="Normal"/>
    <w:uiPriority w:val="8"/>
    <w:qFormat/>
    <w:rsid w:val="006C05B3"/>
    <w:pPr>
      <w:numPr>
        <w:numId w:val="17"/>
      </w:numPr>
      <w:spacing w:after="240" w:line="288" w:lineRule="auto"/>
    </w:pPr>
  </w:style>
  <w:style w:type="paragraph" w:customStyle="1" w:styleId="GreendividerHeading1">
    <w:name w:val="Green divider Heading 1"/>
    <w:basedOn w:val="Normal"/>
    <w:uiPriority w:val="15"/>
    <w:qFormat/>
    <w:rsid w:val="00FA5089"/>
    <w:pPr>
      <w:spacing w:before="720" w:after="360"/>
    </w:pPr>
    <w:rPr>
      <w:color w:val="FFFFFF" w:themeColor="background1"/>
      <w:sz w:val="52"/>
      <w:szCs w:val="52"/>
    </w:rPr>
  </w:style>
  <w:style w:type="paragraph" w:customStyle="1" w:styleId="GreendividerHeading2">
    <w:name w:val="Green divider Heading 2"/>
    <w:basedOn w:val="Normal"/>
    <w:uiPriority w:val="16"/>
    <w:qFormat/>
    <w:rsid w:val="00FA5089"/>
    <w:pPr>
      <w:spacing w:before="120" w:after="240"/>
    </w:pPr>
    <w:rPr>
      <w:b/>
      <w:color w:val="FFFFFF" w:themeColor="background1"/>
      <w:sz w:val="32"/>
      <w:szCs w:val="32"/>
    </w:rPr>
  </w:style>
  <w:style w:type="paragraph" w:customStyle="1" w:styleId="GreendividerBodytext">
    <w:name w:val="Green divider Body text"/>
    <w:basedOn w:val="Normal"/>
    <w:uiPriority w:val="17"/>
    <w:qFormat/>
    <w:rsid w:val="00FA5089"/>
    <w:pPr>
      <w:spacing w:after="240" w:line="288" w:lineRule="auto"/>
    </w:pPr>
    <w:rPr>
      <w:color w:val="FFFFFF" w:themeColor="background1"/>
      <w:sz w:val="28"/>
      <w:szCs w:val="28"/>
    </w:rPr>
  </w:style>
  <w:style w:type="table" w:customStyle="1" w:styleId="IFFtable">
    <w:name w:val="IFF table"/>
    <w:basedOn w:val="TableNormal"/>
    <w:uiPriority w:val="99"/>
    <w:rsid w:val="00A12A17"/>
    <w:tblPr>
      <w:tblStyleRowBandSize w:val="1"/>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1" w:type="dxa"/>
        <w:bottom w:w="51" w:type="dxa"/>
      </w:tblCellMar>
    </w:tblPr>
    <w:tcPr>
      <w:shd w:val="clear" w:color="auto" w:fill="EDF3EA" w:themeFill="accent3" w:themeFillTint="33"/>
    </w:tcPr>
    <w:tblStylePr w:type="firstRow">
      <w:rPr>
        <w:color w:val="FFFFFF" w:themeColor="background1"/>
      </w:rPr>
      <w:tblPr/>
      <w:tcPr>
        <w:shd w:val="clear" w:color="auto" w:fill="A6CE39" w:themeFill="background2"/>
      </w:tcPr>
    </w:tblStylePr>
    <w:tblStylePr w:type="firstCol">
      <w:rPr>
        <w:color w:val="FFFFFF" w:themeColor="background1"/>
      </w:rPr>
      <w:tblPr/>
      <w:tcPr>
        <w:shd w:val="clear" w:color="auto" w:fill="A6CE39" w:themeFill="background2"/>
      </w:tcPr>
    </w:tblStylePr>
    <w:tblStylePr w:type="band1Horz">
      <w:tblPr/>
      <w:tcPr>
        <w:shd w:val="clear" w:color="auto" w:fill="EDF3EA" w:themeFill="accent3" w:themeFillTint="33"/>
      </w:tcPr>
    </w:tblStylePr>
    <w:tblStylePr w:type="band2Horz">
      <w:tblPr/>
      <w:tcPr>
        <w:shd w:val="clear" w:color="auto" w:fill="DBDBDB" w:themeFill="accent4" w:themeFillTint="66"/>
      </w:tcPr>
    </w:tblStylePr>
  </w:style>
  <w:style w:type="numbering" w:customStyle="1" w:styleId="IFFBullets">
    <w:name w:val="IFF Bullets"/>
    <w:uiPriority w:val="99"/>
    <w:rsid w:val="004B5308"/>
    <w:pPr>
      <w:numPr>
        <w:numId w:val="12"/>
      </w:numPr>
    </w:pPr>
  </w:style>
  <w:style w:type="paragraph" w:customStyle="1" w:styleId="Maintext">
    <w:name w:val="Main text"/>
    <w:basedOn w:val="BodyText"/>
    <w:uiPriority w:val="3"/>
    <w:qFormat/>
    <w:rsid w:val="00513287"/>
    <w:pPr>
      <w:numPr>
        <w:ilvl w:val="1"/>
        <w:numId w:val="16"/>
      </w:numPr>
    </w:pPr>
  </w:style>
  <w:style w:type="paragraph" w:styleId="ListBullet2">
    <w:name w:val="List Bullet 2"/>
    <w:aliases w:val="Bullet 2"/>
    <w:basedOn w:val="Normal"/>
    <w:uiPriority w:val="9"/>
    <w:qFormat/>
    <w:rsid w:val="006C05B3"/>
    <w:pPr>
      <w:numPr>
        <w:ilvl w:val="1"/>
        <w:numId w:val="17"/>
      </w:numPr>
      <w:spacing w:after="240" w:line="288" w:lineRule="auto"/>
    </w:pPr>
  </w:style>
  <w:style w:type="numbering" w:customStyle="1" w:styleId="IFFHeadings">
    <w:name w:val="IFF Headings"/>
    <w:basedOn w:val="NoList"/>
    <w:uiPriority w:val="99"/>
    <w:rsid w:val="00513287"/>
    <w:pPr>
      <w:numPr>
        <w:numId w:val="14"/>
      </w:numPr>
    </w:pPr>
  </w:style>
  <w:style w:type="paragraph" w:styleId="ListBullet3">
    <w:name w:val="List Bullet 3"/>
    <w:basedOn w:val="Normal"/>
    <w:uiPriority w:val="99"/>
    <w:semiHidden/>
    <w:rsid w:val="003A5F82"/>
    <w:pPr>
      <w:numPr>
        <w:numId w:val="4"/>
      </w:numPr>
      <w:contextualSpacing/>
    </w:pPr>
  </w:style>
  <w:style w:type="paragraph" w:customStyle="1" w:styleId="Bannerheading">
    <w:name w:val="Banner heading"/>
    <w:basedOn w:val="BodyText"/>
    <w:uiPriority w:val="7"/>
    <w:qFormat/>
    <w:rsid w:val="007F6FF6"/>
    <w:pPr>
      <w:pBdr>
        <w:top w:val="single" w:sz="24" w:space="1" w:color="A6CE39" w:themeColor="background2"/>
        <w:left w:val="single" w:sz="12" w:space="4" w:color="A6CE39" w:themeColor="background2"/>
        <w:bottom w:val="single" w:sz="24" w:space="1" w:color="A6CE39" w:themeColor="background2"/>
        <w:right w:val="single" w:sz="12" w:space="4" w:color="A6CE39" w:themeColor="background2"/>
      </w:pBdr>
      <w:shd w:val="clear" w:color="auto" w:fill="A6CE39" w:themeFill="background2"/>
      <w:spacing w:before="240"/>
      <w:ind w:left="113" w:right="113"/>
    </w:pPr>
    <w:rPr>
      <w:b/>
      <w:color w:val="FFFFFF" w:themeColor="background1"/>
      <w:szCs w:val="20"/>
    </w:rPr>
  </w:style>
  <w:style w:type="paragraph" w:styleId="ListNumber">
    <w:name w:val="List Number"/>
    <w:basedOn w:val="Normal"/>
    <w:uiPriority w:val="10"/>
    <w:qFormat/>
    <w:rsid w:val="006C05B3"/>
    <w:pPr>
      <w:numPr>
        <w:numId w:val="41"/>
      </w:numPr>
      <w:spacing w:after="240" w:line="288" w:lineRule="auto"/>
    </w:pPr>
  </w:style>
  <w:style w:type="paragraph" w:styleId="ListNumber2">
    <w:name w:val="List Number 2"/>
    <w:basedOn w:val="Normal"/>
    <w:uiPriority w:val="11"/>
    <w:qFormat/>
    <w:rsid w:val="006C05B3"/>
    <w:pPr>
      <w:numPr>
        <w:numId w:val="8"/>
      </w:numPr>
      <w:spacing w:after="240" w:line="288" w:lineRule="auto"/>
      <w:ind w:left="641" w:hanging="357"/>
    </w:pPr>
  </w:style>
  <w:style w:type="paragraph" w:styleId="Caption">
    <w:name w:val="caption"/>
    <w:basedOn w:val="Normal"/>
    <w:next w:val="Normal"/>
    <w:uiPriority w:val="18"/>
    <w:qFormat/>
    <w:rsid w:val="00ED4793"/>
    <w:pPr>
      <w:spacing w:after="200"/>
    </w:pPr>
    <w:rPr>
      <w:b/>
      <w:bCs/>
      <w:color w:val="004436" w:themeColor="text2"/>
      <w:sz w:val="18"/>
      <w:szCs w:val="18"/>
    </w:rPr>
  </w:style>
  <w:style w:type="paragraph" w:customStyle="1" w:styleId="Pullouttext">
    <w:name w:val="Pullout text"/>
    <w:basedOn w:val="Normal"/>
    <w:uiPriority w:val="14"/>
    <w:qFormat/>
    <w:rsid w:val="00FA5089"/>
    <w:pPr>
      <w:jc w:val="center"/>
    </w:pPr>
    <w:rPr>
      <w:color w:val="FFFFFF" w:themeColor="background1"/>
      <w:sz w:val="28"/>
    </w:rPr>
  </w:style>
  <w:style w:type="paragraph" w:customStyle="1" w:styleId="Tableheader">
    <w:name w:val="Table header"/>
    <w:basedOn w:val="BodyText"/>
    <w:uiPriority w:val="12"/>
    <w:qFormat/>
    <w:rsid w:val="004B5308"/>
    <w:pPr>
      <w:spacing w:after="0"/>
      <w:jc w:val="center"/>
    </w:pPr>
    <w:rPr>
      <w:b/>
      <w:szCs w:val="20"/>
    </w:rPr>
  </w:style>
  <w:style w:type="paragraph" w:customStyle="1" w:styleId="Tablebullet">
    <w:name w:val="Table bullet"/>
    <w:basedOn w:val="ListBullet"/>
    <w:uiPriority w:val="13"/>
    <w:qFormat/>
    <w:rsid w:val="004B5D24"/>
  </w:style>
  <w:style w:type="paragraph" w:styleId="Quote">
    <w:name w:val="Quote"/>
    <w:basedOn w:val="Normal"/>
    <w:next w:val="Normal"/>
    <w:link w:val="QuoteChar"/>
    <w:uiPriority w:val="29"/>
    <w:semiHidden/>
    <w:qFormat/>
    <w:rsid w:val="005F2BC1"/>
    <w:pPr>
      <w:spacing w:after="120" w:line="288" w:lineRule="auto"/>
    </w:pPr>
    <w:rPr>
      <w:i/>
      <w:iCs/>
      <w:color w:val="004436" w:themeColor="text2"/>
    </w:rPr>
  </w:style>
  <w:style w:type="character" w:customStyle="1" w:styleId="QuoteChar">
    <w:name w:val="Quote Char"/>
    <w:basedOn w:val="DefaultParagraphFont"/>
    <w:link w:val="Quote"/>
    <w:uiPriority w:val="29"/>
    <w:semiHidden/>
    <w:rsid w:val="005F2BC1"/>
    <w:rPr>
      <w:i/>
      <w:iCs/>
      <w:color w:val="004436" w:themeColor="text2"/>
      <w:sz w:val="20"/>
    </w:rPr>
  </w:style>
  <w:style w:type="character" w:customStyle="1" w:styleId="Heading4Char">
    <w:name w:val="Heading 4 Char"/>
    <w:aliases w:val="Subheading 3 Char"/>
    <w:basedOn w:val="DefaultParagraphFont"/>
    <w:link w:val="Heading4"/>
    <w:uiPriority w:val="6"/>
    <w:rsid w:val="00905B65"/>
    <w:rPr>
      <w:rFonts w:eastAsiaTheme="majorEastAsia" w:cstheme="majorBidi"/>
      <w:b/>
      <w:bCs/>
      <w:iCs/>
      <w:color w:val="A6CE39" w:themeColor="accent1"/>
      <w:sz w:val="20"/>
    </w:rPr>
  </w:style>
  <w:style w:type="paragraph" w:customStyle="1" w:styleId="Contentsheader">
    <w:name w:val="Contents header"/>
    <w:basedOn w:val="Normal"/>
    <w:next w:val="Normal"/>
    <w:uiPriority w:val="1"/>
    <w:semiHidden/>
    <w:qFormat/>
    <w:rsid w:val="003546E2"/>
    <w:pPr>
      <w:tabs>
        <w:tab w:val="left" w:pos="993"/>
        <w:tab w:val="right" w:pos="7655"/>
      </w:tabs>
      <w:spacing w:before="720" w:after="240"/>
      <w:ind w:left="567" w:right="958"/>
    </w:pPr>
    <w:rPr>
      <w:color w:val="A6CE39" w:themeColor="accent1"/>
      <w:sz w:val="36"/>
      <w:szCs w:val="36"/>
    </w:rPr>
  </w:style>
  <w:style w:type="table" w:styleId="ColorfulGrid">
    <w:name w:val="Colorful Grid"/>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F5D7" w:themeFill="accent1" w:themeFillTint="33"/>
    </w:tcPr>
    <w:tblStylePr w:type="firstRow">
      <w:rPr>
        <w:b/>
        <w:bCs/>
      </w:rPr>
      <w:tblPr/>
      <w:tcPr>
        <w:shd w:val="clear" w:color="auto" w:fill="DBEBAF" w:themeFill="accent1" w:themeFillTint="66"/>
      </w:tcPr>
    </w:tblStylePr>
    <w:tblStylePr w:type="lastRow">
      <w:rPr>
        <w:b/>
        <w:bCs/>
        <w:color w:val="000000" w:themeColor="text1"/>
      </w:rPr>
      <w:tblPr/>
      <w:tcPr>
        <w:shd w:val="clear" w:color="auto" w:fill="DBEBAF" w:themeFill="accent1" w:themeFillTint="66"/>
      </w:tcPr>
    </w:tblStylePr>
    <w:tblStylePr w:type="firstCol">
      <w:rPr>
        <w:color w:val="FFFFFF" w:themeColor="background1"/>
      </w:rPr>
      <w:tblPr/>
      <w:tcPr>
        <w:shd w:val="clear" w:color="auto" w:fill="7D9D27" w:themeFill="accent1" w:themeFillShade="BF"/>
      </w:tcPr>
    </w:tblStylePr>
    <w:tblStylePr w:type="lastCol">
      <w:rPr>
        <w:color w:val="FFFFFF" w:themeColor="background1"/>
      </w:rPr>
      <w:tblPr/>
      <w:tcPr>
        <w:shd w:val="clear" w:color="auto" w:fill="7D9D27" w:themeFill="accent1" w:themeFillShade="BF"/>
      </w:tcPr>
    </w:tblStylePr>
    <w:tblStylePr w:type="band1Vert">
      <w:tblPr/>
      <w:tcPr>
        <w:shd w:val="clear" w:color="auto" w:fill="D2E69C" w:themeFill="accent1" w:themeFillTint="7F"/>
      </w:tcPr>
    </w:tblStylePr>
    <w:tblStylePr w:type="band1Horz">
      <w:tblPr/>
      <w:tcPr>
        <w:shd w:val="clear" w:color="auto" w:fill="D2E69C" w:themeFill="accent1" w:themeFillTint="7F"/>
      </w:tcPr>
    </w:tblStylePr>
  </w:style>
  <w:style w:type="table" w:styleId="ColorfulGrid-Accent2">
    <w:name w:val="Colorful Grid Accent 2"/>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D5EED2" w:themeFill="accent2" w:themeFillTint="33"/>
    </w:tcPr>
    <w:tblStylePr w:type="firstRow">
      <w:rPr>
        <w:b/>
        <w:bCs/>
      </w:rPr>
      <w:tblPr/>
      <w:tcPr>
        <w:shd w:val="clear" w:color="auto" w:fill="ACDDA7" w:themeFill="accent2" w:themeFillTint="66"/>
      </w:tcPr>
    </w:tblStylePr>
    <w:tblStylePr w:type="lastRow">
      <w:rPr>
        <w:b/>
        <w:bCs/>
        <w:color w:val="000000" w:themeColor="text1"/>
      </w:rPr>
      <w:tblPr/>
      <w:tcPr>
        <w:shd w:val="clear" w:color="auto" w:fill="ACDDA7" w:themeFill="accent2" w:themeFillTint="66"/>
      </w:tcPr>
    </w:tblStylePr>
    <w:tblStylePr w:type="firstCol">
      <w:rPr>
        <w:color w:val="FFFFFF" w:themeColor="background1"/>
      </w:rPr>
      <w:tblPr/>
      <w:tcPr>
        <w:shd w:val="clear" w:color="auto" w:fill="316F2A" w:themeFill="accent2" w:themeFillShade="BF"/>
      </w:tcPr>
    </w:tblStylePr>
    <w:tblStylePr w:type="lastCol">
      <w:rPr>
        <w:color w:val="FFFFFF" w:themeColor="background1"/>
      </w:rPr>
      <w:tblPr/>
      <w:tcPr>
        <w:shd w:val="clear" w:color="auto" w:fill="316F2A" w:themeFill="accent2" w:themeFillShade="BF"/>
      </w:tcPr>
    </w:tblStylePr>
    <w:tblStylePr w:type="band1Vert">
      <w:tblPr/>
      <w:tcPr>
        <w:shd w:val="clear" w:color="auto" w:fill="98D591" w:themeFill="accent2" w:themeFillTint="7F"/>
      </w:tcPr>
    </w:tblStylePr>
    <w:tblStylePr w:type="band1Horz">
      <w:tblPr/>
      <w:tcPr>
        <w:shd w:val="clear" w:color="auto" w:fill="98D591" w:themeFill="accent2" w:themeFillTint="7F"/>
      </w:tcPr>
    </w:tblStylePr>
  </w:style>
  <w:style w:type="table" w:styleId="ColorfulGrid-Accent3">
    <w:name w:val="Colorful Grid Accent 3"/>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F3EA" w:themeFill="accent3" w:themeFillTint="33"/>
    </w:tcPr>
    <w:tblStylePr w:type="firstRow">
      <w:rPr>
        <w:b/>
        <w:bCs/>
      </w:rPr>
      <w:tblPr/>
      <w:tcPr>
        <w:shd w:val="clear" w:color="auto" w:fill="DCE7D5" w:themeFill="accent3" w:themeFillTint="66"/>
      </w:tcPr>
    </w:tblStylePr>
    <w:tblStylePr w:type="lastRow">
      <w:rPr>
        <w:b/>
        <w:bCs/>
        <w:color w:val="000000" w:themeColor="text1"/>
      </w:rPr>
      <w:tblPr/>
      <w:tcPr>
        <w:shd w:val="clear" w:color="auto" w:fill="DCE7D5" w:themeFill="accent3" w:themeFillTint="66"/>
      </w:tcPr>
    </w:tblStylePr>
    <w:tblStylePr w:type="firstCol">
      <w:rPr>
        <w:color w:val="FFFFFF" w:themeColor="background1"/>
      </w:rPr>
      <w:tblPr/>
      <w:tcPr>
        <w:shd w:val="clear" w:color="auto" w:fill="7AA260" w:themeFill="accent3" w:themeFillShade="BF"/>
      </w:tcPr>
    </w:tblStylePr>
    <w:tblStylePr w:type="lastCol">
      <w:rPr>
        <w:color w:val="FFFFFF" w:themeColor="background1"/>
      </w:rPr>
      <w:tblPr/>
      <w:tcPr>
        <w:shd w:val="clear" w:color="auto" w:fill="7AA260" w:themeFill="accent3" w:themeFillShade="BF"/>
      </w:tcPr>
    </w:tblStylePr>
    <w:tblStylePr w:type="band1Vert">
      <w:tblPr/>
      <w:tcPr>
        <w:shd w:val="clear" w:color="auto" w:fill="D3E1CB" w:themeFill="accent3" w:themeFillTint="7F"/>
      </w:tcPr>
    </w:tblStylePr>
    <w:tblStylePr w:type="band1Horz">
      <w:tblPr/>
      <w:tcPr>
        <w:shd w:val="clear" w:color="auto" w:fill="D3E1CB" w:themeFill="accent3" w:themeFillTint="7F"/>
      </w:tcPr>
    </w:tblStylePr>
  </w:style>
  <w:style w:type="table" w:styleId="ColorfulGrid-Accent4">
    <w:name w:val="Colorful Grid Accent 4"/>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EDED" w:themeFill="accent4" w:themeFillTint="33"/>
    </w:tcPr>
    <w:tblStylePr w:type="firstRow">
      <w:rPr>
        <w:b/>
        <w:bCs/>
      </w:rPr>
      <w:tblPr/>
      <w:tcPr>
        <w:shd w:val="clear" w:color="auto" w:fill="DBDBDB" w:themeFill="accent4" w:themeFillTint="66"/>
      </w:tcPr>
    </w:tblStylePr>
    <w:tblStylePr w:type="lastRow">
      <w:rPr>
        <w:b/>
        <w:bCs/>
        <w:color w:val="000000" w:themeColor="text1"/>
      </w:rPr>
      <w:tblPr/>
      <w:tcPr>
        <w:shd w:val="clear" w:color="auto" w:fill="DBDBDB" w:themeFill="accent4" w:themeFillTint="66"/>
      </w:tcPr>
    </w:tblStylePr>
    <w:tblStylePr w:type="firstCol">
      <w:rPr>
        <w:color w:val="FFFFFF" w:themeColor="background1"/>
      </w:rPr>
      <w:tblPr/>
      <w:tcPr>
        <w:shd w:val="clear" w:color="auto" w:fill="7C7C7C" w:themeFill="accent4" w:themeFillShade="BF"/>
      </w:tcPr>
    </w:tblStylePr>
    <w:tblStylePr w:type="lastCol">
      <w:rPr>
        <w:color w:val="FFFFFF" w:themeColor="background1"/>
      </w:rPr>
      <w:tblPr/>
      <w:tcPr>
        <w:shd w:val="clear" w:color="auto" w:fill="7C7C7C" w:themeFill="accent4" w:themeFillShade="BF"/>
      </w:tcPr>
    </w:tblStylePr>
    <w:tblStylePr w:type="band1Vert">
      <w:tblPr/>
      <w:tcPr>
        <w:shd w:val="clear" w:color="auto" w:fill="D2D2D2" w:themeFill="accent4" w:themeFillTint="7F"/>
      </w:tcPr>
    </w:tblStylePr>
    <w:tblStylePr w:type="band1Horz">
      <w:tblPr/>
      <w:tcPr>
        <w:shd w:val="clear" w:color="auto" w:fill="D2D2D2" w:themeFill="accent4" w:themeFillTint="7F"/>
      </w:tcPr>
    </w:tblStylePr>
  </w:style>
  <w:style w:type="table" w:styleId="ColorfulGrid-Accent5">
    <w:name w:val="Colorful Grid Accent 5"/>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D8D8D8" w:themeFill="accent5" w:themeFillTint="33"/>
    </w:tcPr>
    <w:tblStylePr w:type="firstRow">
      <w:rPr>
        <w:b/>
        <w:bCs/>
      </w:rPr>
      <w:tblPr/>
      <w:tcPr>
        <w:shd w:val="clear" w:color="auto" w:fill="B2B2B2" w:themeFill="accent5" w:themeFillTint="66"/>
      </w:tcPr>
    </w:tblStylePr>
    <w:tblStylePr w:type="lastRow">
      <w:rPr>
        <w:b/>
        <w:bCs/>
        <w:color w:val="000000" w:themeColor="text1"/>
      </w:rPr>
      <w:tblPr/>
      <w:tcPr>
        <w:shd w:val="clear" w:color="auto" w:fill="B2B2B2" w:themeFill="accent5" w:themeFillTint="66"/>
      </w:tcPr>
    </w:tblStylePr>
    <w:tblStylePr w:type="firstCol">
      <w:rPr>
        <w:color w:val="FFFFFF" w:themeColor="background1"/>
      </w:rPr>
      <w:tblPr/>
      <w:tcPr>
        <w:shd w:val="clear" w:color="auto" w:fill="2F2F2F" w:themeFill="accent5" w:themeFillShade="BF"/>
      </w:tcPr>
    </w:tblStylePr>
    <w:tblStylePr w:type="lastCol">
      <w:rPr>
        <w:color w:val="FFFFFF" w:themeColor="background1"/>
      </w:rPr>
      <w:tblPr/>
      <w:tcPr>
        <w:shd w:val="clear" w:color="auto" w:fill="2F2F2F" w:themeFill="accent5" w:themeFillShade="BF"/>
      </w:tcPr>
    </w:tblStylePr>
    <w:tblStylePr w:type="band1Vert">
      <w:tblPr/>
      <w:tcPr>
        <w:shd w:val="clear" w:color="auto" w:fill="9F9F9F" w:themeFill="accent5" w:themeFillTint="7F"/>
      </w:tcPr>
    </w:tblStylePr>
    <w:tblStylePr w:type="band1Horz">
      <w:tblPr/>
      <w:tcPr>
        <w:shd w:val="clear" w:color="auto" w:fill="9F9F9F" w:themeFill="accent5" w:themeFillTint="7F"/>
      </w:tcPr>
    </w:tblStylePr>
  </w:style>
  <w:style w:type="table" w:styleId="ColorfulGrid-Accent6">
    <w:name w:val="Colorful Grid Accent 6"/>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F4DDEC" w:themeFill="accent6" w:themeFillTint="33"/>
    </w:tcPr>
    <w:tblStylePr w:type="firstRow">
      <w:rPr>
        <w:b/>
        <w:bCs/>
      </w:rPr>
      <w:tblPr/>
      <w:tcPr>
        <w:shd w:val="clear" w:color="auto" w:fill="E9BCD9" w:themeFill="accent6" w:themeFillTint="66"/>
      </w:tcPr>
    </w:tblStylePr>
    <w:tblStylePr w:type="lastRow">
      <w:rPr>
        <w:b/>
        <w:bCs/>
        <w:color w:val="000000" w:themeColor="text1"/>
      </w:rPr>
      <w:tblPr/>
      <w:tcPr>
        <w:shd w:val="clear" w:color="auto" w:fill="E9BCD9" w:themeFill="accent6" w:themeFillTint="66"/>
      </w:tcPr>
    </w:tblStylePr>
    <w:tblStylePr w:type="firstCol">
      <w:rPr>
        <w:color w:val="FFFFFF" w:themeColor="background1"/>
      </w:rPr>
      <w:tblPr/>
      <w:tcPr>
        <w:shd w:val="clear" w:color="auto" w:fill="A2367C" w:themeFill="accent6" w:themeFillShade="BF"/>
      </w:tcPr>
    </w:tblStylePr>
    <w:tblStylePr w:type="lastCol">
      <w:rPr>
        <w:color w:val="FFFFFF" w:themeColor="background1"/>
      </w:rPr>
      <w:tblPr/>
      <w:tcPr>
        <w:shd w:val="clear" w:color="auto" w:fill="A2367C" w:themeFill="accent6" w:themeFillShade="BF"/>
      </w:tcPr>
    </w:tblStylePr>
    <w:tblStylePr w:type="band1Vert">
      <w:tblPr/>
      <w:tcPr>
        <w:shd w:val="clear" w:color="auto" w:fill="E3ACD0" w:themeFill="accent6" w:themeFillTint="7F"/>
      </w:tcPr>
    </w:tblStylePr>
    <w:tblStylePr w:type="band1Horz">
      <w:tblPr/>
      <w:tcPr>
        <w:shd w:val="clear" w:color="auto" w:fill="E3ACD0" w:themeFill="accent6" w:themeFillTint="7F"/>
      </w:tcPr>
    </w:tblStylePr>
  </w:style>
  <w:style w:type="table" w:styleId="ColorfulList">
    <w:name w:val="Colorful List"/>
    <w:basedOn w:val="TableNormal"/>
    <w:uiPriority w:val="72"/>
    <w:semiHidden/>
    <w:unhideWhenUsed/>
    <w:rsid w:val="006A482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A4826"/>
    <w:rPr>
      <w:color w:val="000000" w:themeColor="text1"/>
    </w:rPr>
    <w:tblPr>
      <w:tblStyleRowBandSize w:val="1"/>
      <w:tblStyleColBandSize w:val="1"/>
    </w:tblPr>
    <w:tcPr>
      <w:shd w:val="clear" w:color="auto" w:fill="F6FAEB" w:themeFill="accent1"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2CD" w:themeFill="accent1" w:themeFillTint="3F"/>
      </w:tcPr>
    </w:tblStylePr>
    <w:tblStylePr w:type="band1Horz">
      <w:tblPr/>
      <w:tcPr>
        <w:shd w:val="clear" w:color="auto" w:fill="EDF5D7" w:themeFill="accent1" w:themeFillTint="33"/>
      </w:tcPr>
    </w:tblStylePr>
  </w:style>
  <w:style w:type="table" w:styleId="ColorfulList-Accent2">
    <w:name w:val="Colorful List Accent 2"/>
    <w:basedOn w:val="TableNormal"/>
    <w:uiPriority w:val="72"/>
    <w:semiHidden/>
    <w:unhideWhenUsed/>
    <w:rsid w:val="006A4826"/>
    <w:rPr>
      <w:color w:val="000000" w:themeColor="text1"/>
    </w:rPr>
    <w:tblPr>
      <w:tblStyleRowBandSize w:val="1"/>
      <w:tblStyleColBandSize w:val="1"/>
    </w:tblPr>
    <w:tcPr>
      <w:shd w:val="clear" w:color="auto" w:fill="EAF6E9" w:themeFill="accent2"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AC8" w:themeFill="accent2" w:themeFillTint="3F"/>
      </w:tcPr>
    </w:tblStylePr>
    <w:tblStylePr w:type="band1Horz">
      <w:tblPr/>
      <w:tcPr>
        <w:shd w:val="clear" w:color="auto" w:fill="D5EED2" w:themeFill="accent2" w:themeFillTint="33"/>
      </w:tcPr>
    </w:tblStylePr>
  </w:style>
  <w:style w:type="table" w:styleId="ColorfulList-Accent3">
    <w:name w:val="Colorful List Accent 3"/>
    <w:basedOn w:val="TableNormal"/>
    <w:uiPriority w:val="72"/>
    <w:semiHidden/>
    <w:unhideWhenUsed/>
    <w:rsid w:val="006A4826"/>
    <w:rPr>
      <w:color w:val="000000" w:themeColor="text1"/>
    </w:rPr>
    <w:tblPr>
      <w:tblStyleRowBandSize w:val="1"/>
      <w:tblStyleColBandSize w:val="1"/>
    </w:tblPr>
    <w:tcPr>
      <w:shd w:val="clear" w:color="auto" w:fill="F6F9F4" w:themeFill="accent3" w:themeFillTint="19"/>
    </w:tcPr>
    <w:tblStylePr w:type="firstRow">
      <w:rPr>
        <w:b/>
        <w:bCs/>
        <w:color w:val="FFFFFF" w:themeColor="background1"/>
      </w:rPr>
      <w:tblPr/>
      <w:tcPr>
        <w:tcBorders>
          <w:bottom w:val="single" w:sz="12" w:space="0" w:color="FFFFFF" w:themeColor="background1"/>
        </w:tcBorders>
        <w:shd w:val="clear" w:color="auto" w:fill="848484" w:themeFill="accent4" w:themeFillShade="CC"/>
      </w:tcPr>
    </w:tblStylePr>
    <w:tblStylePr w:type="lastRow">
      <w:rPr>
        <w:b/>
        <w:bCs/>
        <w:color w:val="8484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0E5" w:themeFill="accent3" w:themeFillTint="3F"/>
      </w:tcPr>
    </w:tblStylePr>
    <w:tblStylePr w:type="band1Horz">
      <w:tblPr/>
      <w:tcPr>
        <w:shd w:val="clear" w:color="auto" w:fill="EDF3EA" w:themeFill="accent3" w:themeFillTint="33"/>
      </w:tcPr>
    </w:tblStylePr>
  </w:style>
  <w:style w:type="table" w:styleId="ColorfulList-Accent4">
    <w:name w:val="Colorful List Accent 4"/>
    <w:basedOn w:val="TableNormal"/>
    <w:uiPriority w:val="72"/>
    <w:semiHidden/>
    <w:unhideWhenUsed/>
    <w:rsid w:val="006A4826"/>
    <w:rPr>
      <w:color w:val="000000" w:themeColor="text1"/>
    </w:rPr>
    <w:tblPr>
      <w:tblStyleRowBandSize w:val="1"/>
      <w:tblStyleColBandSize w:val="1"/>
    </w:tblPr>
    <w:tcPr>
      <w:shd w:val="clear" w:color="auto" w:fill="F6F6F6" w:themeFill="accent4" w:themeFillTint="19"/>
    </w:tcPr>
    <w:tblStylePr w:type="firstRow">
      <w:rPr>
        <w:b/>
        <w:bCs/>
        <w:color w:val="FFFFFF" w:themeColor="background1"/>
      </w:rPr>
      <w:tblPr/>
      <w:tcPr>
        <w:tcBorders>
          <w:bottom w:val="single" w:sz="12" w:space="0" w:color="FFFFFF" w:themeColor="background1"/>
        </w:tcBorders>
        <w:shd w:val="clear" w:color="auto" w:fill="84A96C" w:themeFill="accent3" w:themeFillShade="CC"/>
      </w:tcPr>
    </w:tblStylePr>
    <w:tblStylePr w:type="lastRow">
      <w:rPr>
        <w:b/>
        <w:bCs/>
        <w:color w:val="84A96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9" w:themeFill="accent4" w:themeFillTint="3F"/>
      </w:tcPr>
    </w:tblStylePr>
    <w:tblStylePr w:type="band1Horz">
      <w:tblPr/>
      <w:tcPr>
        <w:shd w:val="clear" w:color="auto" w:fill="EDEDED" w:themeFill="accent4" w:themeFillTint="33"/>
      </w:tcPr>
    </w:tblStylePr>
  </w:style>
  <w:style w:type="table" w:styleId="ColorfulList-Accent5">
    <w:name w:val="Colorful List Accent 5"/>
    <w:basedOn w:val="TableNormal"/>
    <w:uiPriority w:val="72"/>
    <w:semiHidden/>
    <w:unhideWhenUsed/>
    <w:rsid w:val="006A4826"/>
    <w:rPr>
      <w:color w:val="000000" w:themeColor="text1"/>
    </w:rPr>
    <w:tblPr>
      <w:tblStyleRowBandSize w:val="1"/>
      <w:tblStyleColBandSize w:val="1"/>
    </w:tblPr>
    <w:tcPr>
      <w:shd w:val="clear" w:color="auto" w:fill="ECECEC" w:themeFill="accent5" w:themeFillTint="19"/>
    </w:tcPr>
    <w:tblStylePr w:type="firstRow">
      <w:rPr>
        <w:b/>
        <w:bCs/>
        <w:color w:val="FFFFFF" w:themeColor="background1"/>
      </w:rPr>
      <w:tblPr/>
      <w:tcPr>
        <w:tcBorders>
          <w:bottom w:val="single" w:sz="12" w:space="0" w:color="FFFFFF" w:themeColor="background1"/>
        </w:tcBorders>
        <w:shd w:val="clear" w:color="auto" w:fill="AD3984" w:themeFill="accent6" w:themeFillShade="CC"/>
      </w:tcPr>
    </w:tblStylePr>
    <w:tblStylePr w:type="lastRow">
      <w:rPr>
        <w:b/>
        <w:bCs/>
        <w:color w:val="AD398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F" w:themeFill="accent5" w:themeFillTint="3F"/>
      </w:tcPr>
    </w:tblStylePr>
    <w:tblStylePr w:type="band1Horz">
      <w:tblPr/>
      <w:tcPr>
        <w:shd w:val="clear" w:color="auto" w:fill="D8D8D8" w:themeFill="accent5" w:themeFillTint="33"/>
      </w:tcPr>
    </w:tblStylePr>
  </w:style>
  <w:style w:type="table" w:styleId="ColorfulList-Accent6">
    <w:name w:val="Colorful List Accent 6"/>
    <w:basedOn w:val="TableNormal"/>
    <w:uiPriority w:val="72"/>
    <w:semiHidden/>
    <w:unhideWhenUsed/>
    <w:rsid w:val="006A4826"/>
    <w:rPr>
      <w:color w:val="000000" w:themeColor="text1"/>
    </w:rPr>
    <w:tblPr>
      <w:tblStyleRowBandSize w:val="1"/>
      <w:tblStyleColBandSize w:val="1"/>
    </w:tblPr>
    <w:tcPr>
      <w:shd w:val="clear" w:color="auto" w:fill="F9EEF5" w:themeFill="accent6" w:themeFillTint="19"/>
    </w:tcPr>
    <w:tblStylePr w:type="firstRow">
      <w:rPr>
        <w:b/>
        <w:bCs/>
        <w:color w:val="FFFFFF" w:themeColor="background1"/>
      </w:rPr>
      <w:tblPr/>
      <w:tcPr>
        <w:tcBorders>
          <w:bottom w:val="single" w:sz="12" w:space="0" w:color="FFFFFF" w:themeColor="background1"/>
        </w:tcBorders>
        <w:shd w:val="clear" w:color="auto" w:fill="333333" w:themeFill="accent5" w:themeFillShade="CC"/>
      </w:tcPr>
    </w:tblStylePr>
    <w:tblStylePr w:type="lastRow">
      <w:rPr>
        <w:b/>
        <w:bCs/>
        <w:color w:val="33333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5E7" w:themeFill="accent6" w:themeFillTint="3F"/>
      </w:tcPr>
    </w:tblStylePr>
    <w:tblStylePr w:type="band1Horz">
      <w:tblPr/>
      <w:tcPr>
        <w:shd w:val="clear" w:color="auto" w:fill="F4DDEC" w:themeFill="accent6" w:themeFillTint="33"/>
      </w:tcPr>
    </w:tblStylePr>
  </w:style>
  <w:style w:type="table" w:styleId="ColorfulShading">
    <w:name w:val="Colorful Shading"/>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A6CE39" w:themeColor="accent1"/>
        <w:bottom w:val="single" w:sz="4" w:space="0" w:color="A6CE39" w:themeColor="accent1"/>
        <w:right w:val="single" w:sz="4" w:space="0" w:color="A6CE39" w:themeColor="accent1"/>
        <w:insideH w:val="single" w:sz="4" w:space="0" w:color="FFFFFF" w:themeColor="background1"/>
        <w:insideV w:val="single" w:sz="4" w:space="0" w:color="FFFFFF" w:themeColor="background1"/>
      </w:tblBorders>
    </w:tblPr>
    <w:tcPr>
      <w:shd w:val="clear" w:color="auto" w:fill="F6FAEB" w:themeFill="accent1"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E1F" w:themeFill="accent1" w:themeFillShade="99"/>
      </w:tcPr>
    </w:tblStylePr>
    <w:tblStylePr w:type="firstCol">
      <w:rPr>
        <w:color w:val="FFFFFF" w:themeColor="background1"/>
      </w:rPr>
      <w:tblPr/>
      <w:tcPr>
        <w:tcBorders>
          <w:top w:val="nil"/>
          <w:left w:val="nil"/>
          <w:bottom w:val="nil"/>
          <w:right w:val="nil"/>
          <w:insideH w:val="single" w:sz="4" w:space="0" w:color="647E1F" w:themeColor="accent1" w:themeShade="99"/>
          <w:insideV w:val="nil"/>
        </w:tcBorders>
        <w:shd w:val="clear" w:color="auto" w:fill="647E1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47E1F" w:themeFill="accent1" w:themeFillShade="99"/>
      </w:tcPr>
    </w:tblStylePr>
    <w:tblStylePr w:type="band1Vert">
      <w:tblPr/>
      <w:tcPr>
        <w:shd w:val="clear" w:color="auto" w:fill="DBEBAF" w:themeFill="accent1" w:themeFillTint="66"/>
      </w:tcPr>
    </w:tblStylePr>
    <w:tblStylePr w:type="band1Horz">
      <w:tblPr/>
      <w:tcPr>
        <w:shd w:val="clear" w:color="auto" w:fill="D2E69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439539" w:themeColor="accent2"/>
        <w:bottom w:val="single" w:sz="4" w:space="0" w:color="439539" w:themeColor="accent2"/>
        <w:right w:val="single" w:sz="4" w:space="0" w:color="439539" w:themeColor="accent2"/>
        <w:insideH w:val="single" w:sz="4" w:space="0" w:color="FFFFFF" w:themeColor="background1"/>
        <w:insideV w:val="single" w:sz="4" w:space="0" w:color="FFFFFF" w:themeColor="background1"/>
      </w:tblBorders>
    </w:tblPr>
    <w:tcPr>
      <w:shd w:val="clear" w:color="auto" w:fill="EAF6E9" w:themeFill="accent2"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922" w:themeFill="accent2" w:themeFillShade="99"/>
      </w:tcPr>
    </w:tblStylePr>
    <w:tblStylePr w:type="firstCol">
      <w:rPr>
        <w:color w:val="FFFFFF" w:themeColor="background1"/>
      </w:rPr>
      <w:tblPr/>
      <w:tcPr>
        <w:tcBorders>
          <w:top w:val="nil"/>
          <w:left w:val="nil"/>
          <w:bottom w:val="nil"/>
          <w:right w:val="nil"/>
          <w:insideH w:val="single" w:sz="4" w:space="0" w:color="275922" w:themeColor="accent2" w:themeShade="99"/>
          <w:insideV w:val="nil"/>
        </w:tcBorders>
        <w:shd w:val="clear" w:color="auto" w:fill="275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75922" w:themeFill="accent2" w:themeFillShade="99"/>
      </w:tcPr>
    </w:tblStylePr>
    <w:tblStylePr w:type="band1Vert">
      <w:tblPr/>
      <w:tcPr>
        <w:shd w:val="clear" w:color="auto" w:fill="ACDDA7" w:themeFill="accent2" w:themeFillTint="66"/>
      </w:tcPr>
    </w:tblStylePr>
    <w:tblStylePr w:type="band1Horz">
      <w:tblPr/>
      <w:tcPr>
        <w:shd w:val="clear" w:color="auto" w:fill="98D59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A4826"/>
    <w:rPr>
      <w:color w:val="000000" w:themeColor="text1"/>
    </w:rPr>
    <w:tblPr>
      <w:tblStyleRowBandSize w:val="1"/>
      <w:tblStyleColBandSize w:val="1"/>
      <w:tblBorders>
        <w:top w:val="single" w:sz="24" w:space="0" w:color="A6A6A6" w:themeColor="accent4"/>
        <w:left w:val="single" w:sz="4" w:space="0" w:color="A9C398" w:themeColor="accent3"/>
        <w:bottom w:val="single" w:sz="4" w:space="0" w:color="A9C398" w:themeColor="accent3"/>
        <w:right w:val="single" w:sz="4" w:space="0" w:color="A9C398" w:themeColor="accent3"/>
        <w:insideH w:val="single" w:sz="4" w:space="0" w:color="FFFFFF" w:themeColor="background1"/>
        <w:insideV w:val="single" w:sz="4" w:space="0" w:color="FFFFFF" w:themeColor="background1"/>
      </w:tblBorders>
    </w:tblPr>
    <w:tcPr>
      <w:shd w:val="clear" w:color="auto" w:fill="F6F9F4" w:themeFill="accent3" w:themeFillTint="19"/>
    </w:tcPr>
    <w:tblStylePr w:type="firstRow">
      <w:rPr>
        <w:b/>
        <w:bCs/>
      </w:rPr>
      <w:tblPr/>
      <w:tcPr>
        <w:tcBorders>
          <w:top w:val="nil"/>
          <w:left w:val="nil"/>
          <w:bottom w:val="single" w:sz="24" w:space="0" w:color="A6A6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834C" w:themeFill="accent3" w:themeFillShade="99"/>
      </w:tcPr>
    </w:tblStylePr>
    <w:tblStylePr w:type="firstCol">
      <w:rPr>
        <w:color w:val="FFFFFF" w:themeColor="background1"/>
      </w:rPr>
      <w:tblPr/>
      <w:tcPr>
        <w:tcBorders>
          <w:top w:val="nil"/>
          <w:left w:val="nil"/>
          <w:bottom w:val="nil"/>
          <w:right w:val="nil"/>
          <w:insideH w:val="single" w:sz="4" w:space="0" w:color="62834C" w:themeColor="accent3" w:themeShade="99"/>
          <w:insideV w:val="nil"/>
        </w:tcBorders>
        <w:shd w:val="clear" w:color="auto" w:fill="62834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834C" w:themeFill="accent3" w:themeFillShade="99"/>
      </w:tcPr>
    </w:tblStylePr>
    <w:tblStylePr w:type="band1Vert">
      <w:tblPr/>
      <w:tcPr>
        <w:shd w:val="clear" w:color="auto" w:fill="DCE7D5" w:themeFill="accent3" w:themeFillTint="66"/>
      </w:tcPr>
    </w:tblStylePr>
    <w:tblStylePr w:type="band1Horz">
      <w:tblPr/>
      <w:tcPr>
        <w:shd w:val="clear" w:color="auto" w:fill="D3E1CB" w:themeFill="accent3" w:themeFillTint="7F"/>
      </w:tcPr>
    </w:tblStylePr>
  </w:style>
  <w:style w:type="table" w:styleId="ColorfulShading-Accent4">
    <w:name w:val="Colorful Shading Accent 4"/>
    <w:basedOn w:val="TableNormal"/>
    <w:uiPriority w:val="71"/>
    <w:semiHidden/>
    <w:unhideWhenUsed/>
    <w:rsid w:val="006A4826"/>
    <w:rPr>
      <w:color w:val="000000" w:themeColor="text1"/>
    </w:rPr>
    <w:tblPr>
      <w:tblStyleRowBandSize w:val="1"/>
      <w:tblStyleColBandSize w:val="1"/>
      <w:tblBorders>
        <w:top w:val="single" w:sz="24" w:space="0" w:color="A9C398" w:themeColor="accent3"/>
        <w:left w:val="single" w:sz="4" w:space="0" w:color="A6A6A6" w:themeColor="accent4"/>
        <w:bottom w:val="single" w:sz="4" w:space="0" w:color="A6A6A6" w:themeColor="accent4"/>
        <w:right w:val="single" w:sz="4" w:space="0" w:color="A6A6A6" w:themeColor="accent4"/>
        <w:insideH w:val="single" w:sz="4" w:space="0" w:color="FFFFFF" w:themeColor="background1"/>
        <w:insideV w:val="single" w:sz="4" w:space="0" w:color="FFFFFF" w:themeColor="background1"/>
      </w:tblBorders>
    </w:tblPr>
    <w:tcPr>
      <w:shd w:val="clear" w:color="auto" w:fill="F6F6F6" w:themeFill="accent4" w:themeFillTint="19"/>
    </w:tcPr>
    <w:tblStylePr w:type="firstRow">
      <w:rPr>
        <w:b/>
        <w:bCs/>
      </w:rPr>
      <w:tblPr/>
      <w:tcPr>
        <w:tcBorders>
          <w:top w:val="nil"/>
          <w:left w:val="nil"/>
          <w:bottom w:val="single" w:sz="24" w:space="0" w:color="A9C3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4" w:themeFillShade="99"/>
      </w:tcPr>
    </w:tblStylePr>
    <w:tblStylePr w:type="firstCol">
      <w:rPr>
        <w:color w:val="FFFFFF" w:themeColor="background1"/>
      </w:rPr>
      <w:tblPr/>
      <w:tcPr>
        <w:tcBorders>
          <w:top w:val="nil"/>
          <w:left w:val="nil"/>
          <w:bottom w:val="nil"/>
          <w:right w:val="nil"/>
          <w:insideH w:val="single" w:sz="4" w:space="0" w:color="636363" w:themeColor="accent4" w:themeShade="99"/>
          <w:insideV w:val="nil"/>
        </w:tcBorders>
        <w:shd w:val="clear" w:color="auto" w:fill="6363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4" w:themeFillShade="99"/>
      </w:tcPr>
    </w:tblStylePr>
    <w:tblStylePr w:type="band1Vert">
      <w:tblPr/>
      <w:tcPr>
        <w:shd w:val="clear" w:color="auto" w:fill="DBDBDB" w:themeFill="accent4" w:themeFillTint="66"/>
      </w:tcPr>
    </w:tblStylePr>
    <w:tblStylePr w:type="band1Horz">
      <w:tblPr/>
      <w:tcPr>
        <w:shd w:val="clear" w:color="auto" w:fill="D2D2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A4826"/>
    <w:rPr>
      <w:color w:val="000000" w:themeColor="text1"/>
    </w:rPr>
    <w:tblPr>
      <w:tblStyleRowBandSize w:val="1"/>
      <w:tblStyleColBandSize w:val="1"/>
      <w:tblBorders>
        <w:top w:val="single" w:sz="24" w:space="0" w:color="C859A1" w:themeColor="accent6"/>
        <w:left w:val="single" w:sz="4" w:space="0" w:color="404040" w:themeColor="accent5"/>
        <w:bottom w:val="single" w:sz="4" w:space="0" w:color="404040" w:themeColor="accent5"/>
        <w:right w:val="single" w:sz="4" w:space="0" w:color="404040" w:themeColor="accent5"/>
        <w:insideH w:val="single" w:sz="4" w:space="0" w:color="FFFFFF" w:themeColor="background1"/>
        <w:insideV w:val="single" w:sz="4" w:space="0" w:color="FFFFFF" w:themeColor="background1"/>
      </w:tblBorders>
    </w:tblPr>
    <w:tcPr>
      <w:shd w:val="clear" w:color="auto" w:fill="ECECEC" w:themeFill="accent5" w:themeFillTint="19"/>
    </w:tcPr>
    <w:tblStylePr w:type="firstRow">
      <w:rPr>
        <w:b/>
        <w:bCs/>
      </w:rPr>
      <w:tblPr/>
      <w:tcPr>
        <w:tcBorders>
          <w:top w:val="nil"/>
          <w:left w:val="nil"/>
          <w:bottom w:val="single" w:sz="24" w:space="0" w:color="C859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6" w:themeFill="accent5" w:themeFillShade="99"/>
      </w:tcPr>
    </w:tblStylePr>
    <w:tblStylePr w:type="firstCol">
      <w:rPr>
        <w:color w:val="FFFFFF" w:themeColor="background1"/>
      </w:rPr>
      <w:tblPr/>
      <w:tcPr>
        <w:tcBorders>
          <w:top w:val="nil"/>
          <w:left w:val="nil"/>
          <w:bottom w:val="nil"/>
          <w:right w:val="nil"/>
          <w:insideH w:val="single" w:sz="4" w:space="0" w:color="262626" w:themeColor="accent5" w:themeShade="99"/>
          <w:insideV w:val="nil"/>
        </w:tcBorders>
        <w:shd w:val="clear" w:color="auto" w:fill="26262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accent5" w:themeFillShade="99"/>
      </w:tcPr>
    </w:tblStylePr>
    <w:tblStylePr w:type="band1Vert">
      <w:tblPr/>
      <w:tcPr>
        <w:shd w:val="clear" w:color="auto" w:fill="B2B2B2" w:themeFill="accent5" w:themeFillTint="66"/>
      </w:tcPr>
    </w:tblStylePr>
    <w:tblStylePr w:type="band1Horz">
      <w:tblPr/>
      <w:tcPr>
        <w:shd w:val="clear" w:color="auto" w:fill="9F9F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A4826"/>
    <w:rPr>
      <w:color w:val="000000" w:themeColor="text1"/>
    </w:rPr>
    <w:tblPr>
      <w:tblStyleRowBandSize w:val="1"/>
      <w:tblStyleColBandSize w:val="1"/>
      <w:tblBorders>
        <w:top w:val="single" w:sz="24" w:space="0" w:color="404040" w:themeColor="accent5"/>
        <w:left w:val="single" w:sz="4" w:space="0" w:color="C859A1" w:themeColor="accent6"/>
        <w:bottom w:val="single" w:sz="4" w:space="0" w:color="C859A1" w:themeColor="accent6"/>
        <w:right w:val="single" w:sz="4" w:space="0" w:color="C859A1" w:themeColor="accent6"/>
        <w:insideH w:val="single" w:sz="4" w:space="0" w:color="FFFFFF" w:themeColor="background1"/>
        <w:insideV w:val="single" w:sz="4" w:space="0" w:color="FFFFFF" w:themeColor="background1"/>
      </w:tblBorders>
    </w:tblPr>
    <w:tcPr>
      <w:shd w:val="clear" w:color="auto" w:fill="F9EEF5" w:themeFill="accent6" w:themeFillTint="19"/>
    </w:tcPr>
    <w:tblStylePr w:type="firstRow">
      <w:rPr>
        <w:b/>
        <w:bCs/>
      </w:rPr>
      <w:tblPr/>
      <w:tcPr>
        <w:tcBorders>
          <w:top w:val="nil"/>
          <w:left w:val="nil"/>
          <w:bottom w:val="single" w:sz="24" w:space="0" w:color="40404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2B63" w:themeFill="accent6" w:themeFillShade="99"/>
      </w:tcPr>
    </w:tblStylePr>
    <w:tblStylePr w:type="firstCol">
      <w:rPr>
        <w:color w:val="FFFFFF" w:themeColor="background1"/>
      </w:rPr>
      <w:tblPr/>
      <w:tcPr>
        <w:tcBorders>
          <w:top w:val="nil"/>
          <w:left w:val="nil"/>
          <w:bottom w:val="nil"/>
          <w:right w:val="nil"/>
          <w:insideH w:val="single" w:sz="4" w:space="0" w:color="822B63" w:themeColor="accent6" w:themeShade="99"/>
          <w:insideV w:val="nil"/>
        </w:tcBorders>
        <w:shd w:val="clear" w:color="auto" w:fill="822B6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22B63" w:themeFill="accent6" w:themeFillShade="99"/>
      </w:tcPr>
    </w:tblStylePr>
    <w:tblStylePr w:type="band1Vert">
      <w:tblPr/>
      <w:tcPr>
        <w:shd w:val="clear" w:color="auto" w:fill="E9BCD9" w:themeFill="accent6" w:themeFillTint="66"/>
      </w:tcPr>
    </w:tblStylePr>
    <w:tblStylePr w:type="band1Horz">
      <w:tblPr/>
      <w:tcPr>
        <w:shd w:val="clear" w:color="auto" w:fill="E3AC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6A482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A4826"/>
    <w:rPr>
      <w:color w:val="FFFFFF" w:themeColor="background1"/>
    </w:rPr>
    <w:tblPr>
      <w:tblStyleRowBandSize w:val="1"/>
      <w:tblStyleColBandSize w:val="1"/>
    </w:tblPr>
    <w:tcPr>
      <w:shd w:val="clear" w:color="auto" w:fill="A6C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8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D9D2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D9D27" w:themeFill="accent1" w:themeFillShade="BF"/>
      </w:tcPr>
    </w:tblStylePr>
    <w:tblStylePr w:type="band1Vert">
      <w:tblPr/>
      <w:tcPr>
        <w:tcBorders>
          <w:top w:val="nil"/>
          <w:left w:val="nil"/>
          <w:bottom w:val="nil"/>
          <w:right w:val="nil"/>
          <w:insideH w:val="nil"/>
          <w:insideV w:val="nil"/>
        </w:tcBorders>
        <w:shd w:val="clear" w:color="auto" w:fill="7D9D27" w:themeFill="accent1" w:themeFillShade="BF"/>
      </w:tcPr>
    </w:tblStylePr>
    <w:tblStylePr w:type="band1Horz">
      <w:tblPr/>
      <w:tcPr>
        <w:tcBorders>
          <w:top w:val="nil"/>
          <w:left w:val="nil"/>
          <w:bottom w:val="nil"/>
          <w:right w:val="nil"/>
          <w:insideH w:val="nil"/>
          <w:insideV w:val="nil"/>
        </w:tcBorders>
        <w:shd w:val="clear" w:color="auto" w:fill="7D9D27" w:themeFill="accent1" w:themeFillShade="BF"/>
      </w:tcPr>
    </w:tblStylePr>
  </w:style>
  <w:style w:type="table" w:styleId="DarkList-Accent2">
    <w:name w:val="Dark List Accent 2"/>
    <w:basedOn w:val="TableNormal"/>
    <w:uiPriority w:val="70"/>
    <w:semiHidden/>
    <w:unhideWhenUsed/>
    <w:rsid w:val="006A4826"/>
    <w:rPr>
      <w:color w:val="FFFFFF" w:themeColor="background1"/>
    </w:rPr>
    <w:tblPr>
      <w:tblStyleRowBandSize w:val="1"/>
      <w:tblStyleColBandSize w:val="1"/>
    </w:tblPr>
    <w:tcPr>
      <w:shd w:val="clear" w:color="auto" w:fill="43953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A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16F2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16F2A" w:themeFill="accent2" w:themeFillShade="BF"/>
      </w:tcPr>
    </w:tblStylePr>
    <w:tblStylePr w:type="band1Vert">
      <w:tblPr/>
      <w:tcPr>
        <w:tcBorders>
          <w:top w:val="nil"/>
          <w:left w:val="nil"/>
          <w:bottom w:val="nil"/>
          <w:right w:val="nil"/>
          <w:insideH w:val="nil"/>
          <w:insideV w:val="nil"/>
        </w:tcBorders>
        <w:shd w:val="clear" w:color="auto" w:fill="316F2A" w:themeFill="accent2" w:themeFillShade="BF"/>
      </w:tcPr>
    </w:tblStylePr>
    <w:tblStylePr w:type="band1Horz">
      <w:tblPr/>
      <w:tcPr>
        <w:tcBorders>
          <w:top w:val="nil"/>
          <w:left w:val="nil"/>
          <w:bottom w:val="nil"/>
          <w:right w:val="nil"/>
          <w:insideH w:val="nil"/>
          <w:insideV w:val="nil"/>
        </w:tcBorders>
        <w:shd w:val="clear" w:color="auto" w:fill="316F2A" w:themeFill="accent2" w:themeFillShade="BF"/>
      </w:tcPr>
    </w:tblStylePr>
  </w:style>
  <w:style w:type="table" w:styleId="DarkList-Accent3">
    <w:name w:val="Dark List Accent 3"/>
    <w:basedOn w:val="TableNormal"/>
    <w:uiPriority w:val="70"/>
    <w:semiHidden/>
    <w:unhideWhenUsed/>
    <w:rsid w:val="006A4826"/>
    <w:rPr>
      <w:color w:val="FFFFFF" w:themeColor="background1"/>
    </w:rPr>
    <w:tblPr>
      <w:tblStyleRowBandSize w:val="1"/>
      <w:tblStyleColBandSize w:val="1"/>
    </w:tblPr>
    <w:tcPr>
      <w:shd w:val="clear" w:color="auto" w:fill="A9C3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6D3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AA2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AA260" w:themeFill="accent3" w:themeFillShade="BF"/>
      </w:tcPr>
    </w:tblStylePr>
    <w:tblStylePr w:type="band1Vert">
      <w:tblPr/>
      <w:tcPr>
        <w:tcBorders>
          <w:top w:val="nil"/>
          <w:left w:val="nil"/>
          <w:bottom w:val="nil"/>
          <w:right w:val="nil"/>
          <w:insideH w:val="nil"/>
          <w:insideV w:val="nil"/>
        </w:tcBorders>
        <w:shd w:val="clear" w:color="auto" w:fill="7AA260" w:themeFill="accent3" w:themeFillShade="BF"/>
      </w:tcPr>
    </w:tblStylePr>
    <w:tblStylePr w:type="band1Horz">
      <w:tblPr/>
      <w:tcPr>
        <w:tcBorders>
          <w:top w:val="nil"/>
          <w:left w:val="nil"/>
          <w:bottom w:val="nil"/>
          <w:right w:val="nil"/>
          <w:insideH w:val="nil"/>
          <w:insideV w:val="nil"/>
        </w:tcBorders>
        <w:shd w:val="clear" w:color="auto" w:fill="7AA260" w:themeFill="accent3" w:themeFillShade="BF"/>
      </w:tcPr>
    </w:tblStylePr>
  </w:style>
  <w:style w:type="table" w:styleId="DarkList-Accent4">
    <w:name w:val="Dark List Accent 4"/>
    <w:basedOn w:val="TableNormal"/>
    <w:uiPriority w:val="70"/>
    <w:semiHidden/>
    <w:unhideWhenUsed/>
    <w:rsid w:val="006A4826"/>
    <w:rPr>
      <w:color w:val="FFFFFF" w:themeColor="background1"/>
    </w:rPr>
    <w:tblPr>
      <w:tblStyleRowBandSize w:val="1"/>
      <w:tblStyleColBandSize w:val="1"/>
    </w:tblPr>
    <w:tcPr>
      <w:shd w:val="clear" w:color="auto" w:fill="A6A6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7C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7C7C" w:themeFill="accent4" w:themeFillShade="BF"/>
      </w:tcPr>
    </w:tblStylePr>
    <w:tblStylePr w:type="band1Vert">
      <w:tblPr/>
      <w:tcPr>
        <w:tcBorders>
          <w:top w:val="nil"/>
          <w:left w:val="nil"/>
          <w:bottom w:val="nil"/>
          <w:right w:val="nil"/>
          <w:insideH w:val="nil"/>
          <w:insideV w:val="nil"/>
        </w:tcBorders>
        <w:shd w:val="clear" w:color="auto" w:fill="7C7C7C" w:themeFill="accent4" w:themeFillShade="BF"/>
      </w:tcPr>
    </w:tblStylePr>
    <w:tblStylePr w:type="band1Horz">
      <w:tblPr/>
      <w:tcPr>
        <w:tcBorders>
          <w:top w:val="nil"/>
          <w:left w:val="nil"/>
          <w:bottom w:val="nil"/>
          <w:right w:val="nil"/>
          <w:insideH w:val="nil"/>
          <w:insideV w:val="nil"/>
        </w:tcBorders>
        <w:shd w:val="clear" w:color="auto" w:fill="7C7C7C" w:themeFill="accent4" w:themeFillShade="BF"/>
      </w:tcPr>
    </w:tblStylePr>
  </w:style>
  <w:style w:type="table" w:styleId="DarkList-Accent5">
    <w:name w:val="Dark List Accent 5"/>
    <w:basedOn w:val="TableNormal"/>
    <w:uiPriority w:val="70"/>
    <w:semiHidden/>
    <w:unhideWhenUsed/>
    <w:rsid w:val="006A4826"/>
    <w:rPr>
      <w:color w:val="FFFFFF" w:themeColor="background1"/>
    </w:rPr>
    <w:tblPr>
      <w:tblStyleRowBandSize w:val="1"/>
      <w:tblStyleColBandSize w:val="1"/>
    </w:tblPr>
    <w:tcPr>
      <w:shd w:val="clear" w:color="auto" w:fill="40404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1F1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2F2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2F2F" w:themeFill="accent5" w:themeFillShade="BF"/>
      </w:tcPr>
    </w:tblStylePr>
    <w:tblStylePr w:type="band1Vert">
      <w:tblPr/>
      <w:tcPr>
        <w:tcBorders>
          <w:top w:val="nil"/>
          <w:left w:val="nil"/>
          <w:bottom w:val="nil"/>
          <w:right w:val="nil"/>
          <w:insideH w:val="nil"/>
          <w:insideV w:val="nil"/>
        </w:tcBorders>
        <w:shd w:val="clear" w:color="auto" w:fill="2F2F2F" w:themeFill="accent5" w:themeFillShade="BF"/>
      </w:tcPr>
    </w:tblStylePr>
    <w:tblStylePr w:type="band1Horz">
      <w:tblPr/>
      <w:tcPr>
        <w:tcBorders>
          <w:top w:val="nil"/>
          <w:left w:val="nil"/>
          <w:bottom w:val="nil"/>
          <w:right w:val="nil"/>
          <w:insideH w:val="nil"/>
          <w:insideV w:val="nil"/>
        </w:tcBorders>
        <w:shd w:val="clear" w:color="auto" w:fill="2F2F2F" w:themeFill="accent5" w:themeFillShade="BF"/>
      </w:tcPr>
    </w:tblStylePr>
  </w:style>
  <w:style w:type="table" w:styleId="DarkList-Accent6">
    <w:name w:val="Dark List Accent 6"/>
    <w:basedOn w:val="TableNormal"/>
    <w:uiPriority w:val="70"/>
    <w:semiHidden/>
    <w:unhideWhenUsed/>
    <w:rsid w:val="006A4826"/>
    <w:rPr>
      <w:color w:val="FFFFFF" w:themeColor="background1"/>
    </w:rPr>
    <w:tblPr>
      <w:tblStyleRowBandSize w:val="1"/>
      <w:tblStyleColBandSize w:val="1"/>
    </w:tblPr>
    <w:tcPr>
      <w:shd w:val="clear" w:color="auto" w:fill="C859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35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2367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2367C" w:themeFill="accent6" w:themeFillShade="BF"/>
      </w:tcPr>
    </w:tblStylePr>
    <w:tblStylePr w:type="band1Vert">
      <w:tblPr/>
      <w:tcPr>
        <w:tcBorders>
          <w:top w:val="nil"/>
          <w:left w:val="nil"/>
          <w:bottom w:val="nil"/>
          <w:right w:val="nil"/>
          <w:insideH w:val="nil"/>
          <w:insideV w:val="nil"/>
        </w:tcBorders>
        <w:shd w:val="clear" w:color="auto" w:fill="A2367C" w:themeFill="accent6" w:themeFillShade="BF"/>
      </w:tcPr>
    </w:tblStylePr>
    <w:tblStylePr w:type="band1Horz">
      <w:tblPr/>
      <w:tcPr>
        <w:tcBorders>
          <w:top w:val="nil"/>
          <w:left w:val="nil"/>
          <w:bottom w:val="nil"/>
          <w:right w:val="nil"/>
          <w:insideH w:val="nil"/>
          <w:insideV w:val="nil"/>
        </w:tcBorders>
        <w:shd w:val="clear" w:color="auto" w:fill="A2367C" w:themeFill="accent6" w:themeFillShade="BF"/>
      </w:tcPr>
    </w:tblStylePr>
  </w:style>
  <w:style w:type="table" w:styleId="LightGrid">
    <w:name w:val="Light Grid"/>
    <w:basedOn w:val="TableNormal"/>
    <w:uiPriority w:val="62"/>
    <w:semiHidden/>
    <w:unhideWhenUsed/>
    <w:rsid w:val="006A48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A4826"/>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table" w:styleId="LightGrid-Accent2">
    <w:name w:val="Light Grid Accent 2"/>
    <w:basedOn w:val="TableNormal"/>
    <w:uiPriority w:val="62"/>
    <w:semiHidden/>
    <w:unhideWhenUsed/>
    <w:rsid w:val="006A4826"/>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insideH w:val="single" w:sz="8" w:space="0" w:color="439539" w:themeColor="accent2"/>
        <w:insideV w:val="single" w:sz="8" w:space="0" w:color="43953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39539" w:themeColor="accent2"/>
          <w:left w:val="single" w:sz="8" w:space="0" w:color="439539" w:themeColor="accent2"/>
          <w:bottom w:val="single" w:sz="18" w:space="0" w:color="439539" w:themeColor="accent2"/>
          <w:right w:val="single" w:sz="8" w:space="0" w:color="439539" w:themeColor="accent2"/>
          <w:insideH w:val="nil"/>
          <w:insideV w:val="single" w:sz="8" w:space="0" w:color="43953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39539" w:themeColor="accent2"/>
          <w:left w:val="single" w:sz="8" w:space="0" w:color="439539" w:themeColor="accent2"/>
          <w:bottom w:val="single" w:sz="8" w:space="0" w:color="439539" w:themeColor="accent2"/>
          <w:right w:val="single" w:sz="8" w:space="0" w:color="439539" w:themeColor="accent2"/>
          <w:insideH w:val="nil"/>
          <w:insideV w:val="single" w:sz="8" w:space="0" w:color="43953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tblStylePr w:type="band1Vert">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shd w:val="clear" w:color="auto" w:fill="CCEAC8" w:themeFill="accent2" w:themeFillTint="3F"/>
      </w:tcPr>
    </w:tblStylePr>
    <w:tblStylePr w:type="band1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insideV w:val="single" w:sz="8" w:space="0" w:color="439539" w:themeColor="accent2"/>
        </w:tcBorders>
        <w:shd w:val="clear" w:color="auto" w:fill="CCEAC8" w:themeFill="accent2" w:themeFillTint="3F"/>
      </w:tcPr>
    </w:tblStylePr>
    <w:tblStylePr w:type="band2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insideV w:val="single" w:sz="8" w:space="0" w:color="439539" w:themeColor="accent2"/>
        </w:tcBorders>
      </w:tcPr>
    </w:tblStylePr>
  </w:style>
  <w:style w:type="table" w:styleId="LightGrid-Accent3">
    <w:name w:val="Light Grid Accent 3"/>
    <w:basedOn w:val="TableNormal"/>
    <w:uiPriority w:val="62"/>
    <w:semiHidden/>
    <w:unhideWhenUsed/>
    <w:rsid w:val="006A4826"/>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insideH w:val="single" w:sz="8" w:space="0" w:color="A9C398" w:themeColor="accent3"/>
        <w:insideV w:val="single" w:sz="8" w:space="0" w:color="A9C3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C398" w:themeColor="accent3"/>
          <w:left w:val="single" w:sz="8" w:space="0" w:color="A9C398" w:themeColor="accent3"/>
          <w:bottom w:val="single" w:sz="18" w:space="0" w:color="A9C398" w:themeColor="accent3"/>
          <w:right w:val="single" w:sz="8" w:space="0" w:color="A9C398" w:themeColor="accent3"/>
          <w:insideH w:val="nil"/>
          <w:insideV w:val="single" w:sz="8" w:space="0" w:color="A9C3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C398" w:themeColor="accent3"/>
          <w:left w:val="single" w:sz="8" w:space="0" w:color="A9C398" w:themeColor="accent3"/>
          <w:bottom w:val="single" w:sz="8" w:space="0" w:color="A9C398" w:themeColor="accent3"/>
          <w:right w:val="single" w:sz="8" w:space="0" w:color="A9C398" w:themeColor="accent3"/>
          <w:insideH w:val="nil"/>
          <w:insideV w:val="single" w:sz="8" w:space="0" w:color="A9C3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tblStylePr w:type="band1Vert">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shd w:val="clear" w:color="auto" w:fill="E9F0E5" w:themeFill="accent3" w:themeFillTint="3F"/>
      </w:tcPr>
    </w:tblStylePr>
    <w:tblStylePr w:type="band1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insideV w:val="single" w:sz="8" w:space="0" w:color="A9C398" w:themeColor="accent3"/>
        </w:tcBorders>
        <w:shd w:val="clear" w:color="auto" w:fill="E9F0E5" w:themeFill="accent3" w:themeFillTint="3F"/>
      </w:tcPr>
    </w:tblStylePr>
    <w:tblStylePr w:type="band2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insideV w:val="single" w:sz="8" w:space="0" w:color="A9C398" w:themeColor="accent3"/>
        </w:tcBorders>
      </w:tcPr>
    </w:tblStylePr>
  </w:style>
  <w:style w:type="table" w:styleId="LightGrid-Accent4">
    <w:name w:val="Light Grid Accent 4"/>
    <w:basedOn w:val="TableNormal"/>
    <w:uiPriority w:val="62"/>
    <w:semiHidden/>
    <w:unhideWhenUsed/>
    <w:rsid w:val="006A4826"/>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insideH w:val="single" w:sz="8" w:space="0" w:color="A6A6A6" w:themeColor="accent4"/>
        <w:insideV w:val="single" w:sz="8" w:space="0" w:color="A6A6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6A6" w:themeColor="accent4"/>
          <w:left w:val="single" w:sz="8" w:space="0" w:color="A6A6A6" w:themeColor="accent4"/>
          <w:bottom w:val="single" w:sz="18" w:space="0" w:color="A6A6A6" w:themeColor="accent4"/>
          <w:right w:val="single" w:sz="8" w:space="0" w:color="A6A6A6" w:themeColor="accent4"/>
          <w:insideH w:val="nil"/>
          <w:insideV w:val="single" w:sz="8" w:space="0" w:color="A6A6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6A6" w:themeColor="accent4"/>
          <w:left w:val="single" w:sz="8" w:space="0" w:color="A6A6A6" w:themeColor="accent4"/>
          <w:bottom w:val="single" w:sz="8" w:space="0" w:color="A6A6A6" w:themeColor="accent4"/>
          <w:right w:val="single" w:sz="8" w:space="0" w:color="A6A6A6" w:themeColor="accent4"/>
          <w:insideH w:val="nil"/>
          <w:insideV w:val="single" w:sz="8" w:space="0" w:color="A6A6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tblStylePr w:type="band1Vert">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shd w:val="clear" w:color="auto" w:fill="E9E9E9" w:themeFill="accent4" w:themeFillTint="3F"/>
      </w:tcPr>
    </w:tblStylePr>
    <w:tblStylePr w:type="band1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insideV w:val="single" w:sz="8" w:space="0" w:color="A6A6A6" w:themeColor="accent4"/>
        </w:tcBorders>
        <w:shd w:val="clear" w:color="auto" w:fill="E9E9E9" w:themeFill="accent4" w:themeFillTint="3F"/>
      </w:tcPr>
    </w:tblStylePr>
    <w:tblStylePr w:type="band2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insideV w:val="single" w:sz="8" w:space="0" w:color="A6A6A6" w:themeColor="accent4"/>
        </w:tcBorders>
      </w:tcPr>
    </w:tblStylePr>
  </w:style>
  <w:style w:type="table" w:styleId="LightGrid-Accent5">
    <w:name w:val="Light Grid Accent 5"/>
    <w:basedOn w:val="TableNormal"/>
    <w:uiPriority w:val="62"/>
    <w:semiHidden/>
    <w:unhideWhenUsed/>
    <w:rsid w:val="006A4826"/>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insideH w:val="single" w:sz="8" w:space="0" w:color="404040" w:themeColor="accent5"/>
        <w:insideV w:val="single" w:sz="8" w:space="0" w:color="40404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40" w:themeColor="accent5"/>
          <w:left w:val="single" w:sz="8" w:space="0" w:color="404040" w:themeColor="accent5"/>
          <w:bottom w:val="single" w:sz="18" w:space="0" w:color="404040" w:themeColor="accent5"/>
          <w:right w:val="single" w:sz="8" w:space="0" w:color="404040" w:themeColor="accent5"/>
          <w:insideH w:val="nil"/>
          <w:insideV w:val="single" w:sz="8" w:space="0" w:color="40404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40" w:themeColor="accent5"/>
          <w:left w:val="single" w:sz="8" w:space="0" w:color="404040" w:themeColor="accent5"/>
          <w:bottom w:val="single" w:sz="8" w:space="0" w:color="404040" w:themeColor="accent5"/>
          <w:right w:val="single" w:sz="8" w:space="0" w:color="404040" w:themeColor="accent5"/>
          <w:insideH w:val="nil"/>
          <w:insideV w:val="single" w:sz="8" w:space="0" w:color="40404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tblStylePr w:type="band1Vert">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shd w:val="clear" w:color="auto" w:fill="CFCFCF" w:themeFill="accent5" w:themeFillTint="3F"/>
      </w:tcPr>
    </w:tblStylePr>
    <w:tblStylePr w:type="band1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insideV w:val="single" w:sz="8" w:space="0" w:color="404040" w:themeColor="accent5"/>
        </w:tcBorders>
        <w:shd w:val="clear" w:color="auto" w:fill="CFCFCF" w:themeFill="accent5" w:themeFillTint="3F"/>
      </w:tcPr>
    </w:tblStylePr>
    <w:tblStylePr w:type="band2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insideV w:val="single" w:sz="8" w:space="0" w:color="404040" w:themeColor="accent5"/>
        </w:tcBorders>
      </w:tcPr>
    </w:tblStylePr>
  </w:style>
  <w:style w:type="table" w:styleId="LightGrid-Accent6">
    <w:name w:val="Light Grid Accent 6"/>
    <w:basedOn w:val="TableNormal"/>
    <w:uiPriority w:val="62"/>
    <w:semiHidden/>
    <w:unhideWhenUsed/>
    <w:rsid w:val="006A4826"/>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insideH w:val="single" w:sz="8" w:space="0" w:color="C859A1" w:themeColor="accent6"/>
        <w:insideV w:val="single" w:sz="8" w:space="0" w:color="C859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59A1" w:themeColor="accent6"/>
          <w:left w:val="single" w:sz="8" w:space="0" w:color="C859A1" w:themeColor="accent6"/>
          <w:bottom w:val="single" w:sz="18" w:space="0" w:color="C859A1" w:themeColor="accent6"/>
          <w:right w:val="single" w:sz="8" w:space="0" w:color="C859A1" w:themeColor="accent6"/>
          <w:insideH w:val="nil"/>
          <w:insideV w:val="single" w:sz="8" w:space="0" w:color="C859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59A1" w:themeColor="accent6"/>
          <w:left w:val="single" w:sz="8" w:space="0" w:color="C859A1" w:themeColor="accent6"/>
          <w:bottom w:val="single" w:sz="8" w:space="0" w:color="C859A1" w:themeColor="accent6"/>
          <w:right w:val="single" w:sz="8" w:space="0" w:color="C859A1" w:themeColor="accent6"/>
          <w:insideH w:val="nil"/>
          <w:insideV w:val="single" w:sz="8" w:space="0" w:color="C859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tblStylePr w:type="band1Vert">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shd w:val="clear" w:color="auto" w:fill="F1D5E7" w:themeFill="accent6" w:themeFillTint="3F"/>
      </w:tcPr>
    </w:tblStylePr>
    <w:tblStylePr w:type="band1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insideV w:val="single" w:sz="8" w:space="0" w:color="C859A1" w:themeColor="accent6"/>
        </w:tcBorders>
        <w:shd w:val="clear" w:color="auto" w:fill="F1D5E7" w:themeFill="accent6" w:themeFillTint="3F"/>
      </w:tcPr>
    </w:tblStylePr>
    <w:tblStylePr w:type="band2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insideV w:val="single" w:sz="8" w:space="0" w:color="C859A1" w:themeColor="accent6"/>
        </w:tcBorders>
      </w:tcPr>
    </w:tblStylePr>
  </w:style>
  <w:style w:type="table" w:styleId="LightList">
    <w:name w:val="Light List"/>
    <w:basedOn w:val="TableNormal"/>
    <w:uiPriority w:val="61"/>
    <w:semiHidden/>
    <w:unhideWhenUsed/>
    <w:rsid w:val="006A48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A4826"/>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pPr>
        <w:spacing w:before="0" w:after="0" w:line="240" w:lineRule="auto"/>
      </w:pPr>
      <w:rPr>
        <w:b/>
        <w:bCs/>
        <w:color w:val="FFFFFF" w:themeColor="background1"/>
      </w:rPr>
      <w:tblPr/>
      <w:tcPr>
        <w:shd w:val="clear" w:color="auto" w:fill="A6CE39" w:themeFill="accent1"/>
      </w:tcPr>
    </w:tblStylePr>
    <w:tblStylePr w:type="lastRow">
      <w:pPr>
        <w:spacing w:before="0" w:after="0" w:line="240" w:lineRule="auto"/>
      </w:pPr>
      <w:rPr>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tcBorders>
      </w:tcPr>
    </w:tblStylePr>
    <w:tblStylePr w:type="firstCol">
      <w:rPr>
        <w:b/>
        <w:bCs/>
      </w:rPr>
    </w:tblStylePr>
    <w:tblStylePr w:type="lastCol">
      <w:rPr>
        <w:b/>
        <w:bCs/>
      </w:r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style>
  <w:style w:type="table" w:styleId="LightList-Accent2">
    <w:name w:val="Light List Accent 2"/>
    <w:basedOn w:val="TableNormal"/>
    <w:uiPriority w:val="61"/>
    <w:semiHidden/>
    <w:unhideWhenUsed/>
    <w:rsid w:val="006A4826"/>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tblBorders>
    </w:tblPr>
    <w:tblStylePr w:type="firstRow">
      <w:pPr>
        <w:spacing w:before="0" w:after="0" w:line="240" w:lineRule="auto"/>
      </w:pPr>
      <w:rPr>
        <w:b/>
        <w:bCs/>
        <w:color w:val="FFFFFF" w:themeColor="background1"/>
      </w:rPr>
      <w:tblPr/>
      <w:tcPr>
        <w:shd w:val="clear" w:color="auto" w:fill="439539" w:themeFill="accent2"/>
      </w:tcPr>
    </w:tblStylePr>
    <w:tblStylePr w:type="lastRow">
      <w:pPr>
        <w:spacing w:before="0" w:after="0" w:line="240" w:lineRule="auto"/>
      </w:pPr>
      <w:rPr>
        <w:b/>
        <w:bCs/>
      </w:rPr>
      <w:tblPr/>
      <w:tcPr>
        <w:tcBorders>
          <w:top w:val="double" w:sz="6" w:space="0" w:color="439539" w:themeColor="accent2"/>
          <w:left w:val="single" w:sz="8" w:space="0" w:color="439539" w:themeColor="accent2"/>
          <w:bottom w:val="single" w:sz="8" w:space="0" w:color="439539" w:themeColor="accent2"/>
          <w:right w:val="single" w:sz="8" w:space="0" w:color="439539" w:themeColor="accent2"/>
        </w:tcBorders>
      </w:tcPr>
    </w:tblStylePr>
    <w:tblStylePr w:type="firstCol">
      <w:rPr>
        <w:b/>
        <w:bCs/>
      </w:rPr>
    </w:tblStylePr>
    <w:tblStylePr w:type="lastCol">
      <w:rPr>
        <w:b/>
        <w:bCs/>
      </w:rPr>
    </w:tblStylePr>
    <w:tblStylePr w:type="band1Vert">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tblStylePr w:type="band1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style>
  <w:style w:type="table" w:styleId="LightList-Accent3">
    <w:name w:val="Light List Accent 3"/>
    <w:basedOn w:val="TableNormal"/>
    <w:uiPriority w:val="61"/>
    <w:semiHidden/>
    <w:unhideWhenUsed/>
    <w:rsid w:val="006A4826"/>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tblBorders>
    </w:tblPr>
    <w:tblStylePr w:type="firstRow">
      <w:pPr>
        <w:spacing w:before="0" w:after="0" w:line="240" w:lineRule="auto"/>
      </w:pPr>
      <w:rPr>
        <w:b/>
        <w:bCs/>
        <w:color w:val="FFFFFF" w:themeColor="background1"/>
      </w:rPr>
      <w:tblPr/>
      <w:tcPr>
        <w:shd w:val="clear" w:color="auto" w:fill="A9C398" w:themeFill="accent3"/>
      </w:tcPr>
    </w:tblStylePr>
    <w:tblStylePr w:type="lastRow">
      <w:pPr>
        <w:spacing w:before="0" w:after="0" w:line="240" w:lineRule="auto"/>
      </w:pPr>
      <w:rPr>
        <w:b/>
        <w:bCs/>
      </w:rPr>
      <w:tblPr/>
      <w:tcPr>
        <w:tcBorders>
          <w:top w:val="double" w:sz="6" w:space="0" w:color="A9C398" w:themeColor="accent3"/>
          <w:left w:val="single" w:sz="8" w:space="0" w:color="A9C398" w:themeColor="accent3"/>
          <w:bottom w:val="single" w:sz="8" w:space="0" w:color="A9C398" w:themeColor="accent3"/>
          <w:right w:val="single" w:sz="8" w:space="0" w:color="A9C398" w:themeColor="accent3"/>
        </w:tcBorders>
      </w:tcPr>
    </w:tblStylePr>
    <w:tblStylePr w:type="firstCol">
      <w:rPr>
        <w:b/>
        <w:bCs/>
      </w:rPr>
    </w:tblStylePr>
    <w:tblStylePr w:type="lastCol">
      <w:rPr>
        <w:b/>
        <w:bCs/>
      </w:rPr>
    </w:tblStylePr>
    <w:tblStylePr w:type="band1Vert">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tblStylePr w:type="band1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style>
  <w:style w:type="table" w:styleId="LightList-Accent4">
    <w:name w:val="Light List Accent 4"/>
    <w:basedOn w:val="TableNormal"/>
    <w:uiPriority w:val="61"/>
    <w:semiHidden/>
    <w:unhideWhenUsed/>
    <w:rsid w:val="006A4826"/>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tblBorders>
    </w:tblPr>
    <w:tblStylePr w:type="firstRow">
      <w:pPr>
        <w:spacing w:before="0" w:after="0" w:line="240" w:lineRule="auto"/>
      </w:pPr>
      <w:rPr>
        <w:b/>
        <w:bCs/>
        <w:color w:val="FFFFFF" w:themeColor="background1"/>
      </w:rPr>
      <w:tblPr/>
      <w:tcPr>
        <w:shd w:val="clear" w:color="auto" w:fill="A6A6A6" w:themeFill="accent4"/>
      </w:tcPr>
    </w:tblStylePr>
    <w:tblStylePr w:type="lastRow">
      <w:pPr>
        <w:spacing w:before="0" w:after="0" w:line="240" w:lineRule="auto"/>
      </w:pPr>
      <w:rPr>
        <w:b/>
        <w:bCs/>
      </w:rPr>
      <w:tblPr/>
      <w:tcPr>
        <w:tcBorders>
          <w:top w:val="double" w:sz="6" w:space="0" w:color="A6A6A6" w:themeColor="accent4"/>
          <w:left w:val="single" w:sz="8" w:space="0" w:color="A6A6A6" w:themeColor="accent4"/>
          <w:bottom w:val="single" w:sz="8" w:space="0" w:color="A6A6A6" w:themeColor="accent4"/>
          <w:right w:val="single" w:sz="8" w:space="0" w:color="A6A6A6" w:themeColor="accent4"/>
        </w:tcBorders>
      </w:tcPr>
    </w:tblStylePr>
    <w:tblStylePr w:type="firstCol">
      <w:rPr>
        <w:b/>
        <w:bCs/>
      </w:rPr>
    </w:tblStylePr>
    <w:tblStylePr w:type="lastCol">
      <w:rPr>
        <w:b/>
        <w:bCs/>
      </w:rPr>
    </w:tblStylePr>
    <w:tblStylePr w:type="band1Vert">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tblStylePr w:type="band1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style>
  <w:style w:type="table" w:styleId="LightList-Accent5">
    <w:name w:val="Light List Accent 5"/>
    <w:basedOn w:val="TableNormal"/>
    <w:uiPriority w:val="61"/>
    <w:semiHidden/>
    <w:unhideWhenUsed/>
    <w:rsid w:val="006A4826"/>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tblBorders>
    </w:tblPr>
    <w:tblStylePr w:type="firstRow">
      <w:pPr>
        <w:spacing w:before="0" w:after="0" w:line="240" w:lineRule="auto"/>
      </w:pPr>
      <w:rPr>
        <w:b/>
        <w:bCs/>
        <w:color w:val="FFFFFF" w:themeColor="background1"/>
      </w:rPr>
      <w:tblPr/>
      <w:tcPr>
        <w:shd w:val="clear" w:color="auto" w:fill="404040" w:themeFill="accent5"/>
      </w:tcPr>
    </w:tblStylePr>
    <w:tblStylePr w:type="lastRow">
      <w:pPr>
        <w:spacing w:before="0" w:after="0" w:line="240" w:lineRule="auto"/>
      </w:pPr>
      <w:rPr>
        <w:b/>
        <w:bCs/>
      </w:rPr>
      <w:tblPr/>
      <w:tcPr>
        <w:tcBorders>
          <w:top w:val="double" w:sz="6" w:space="0" w:color="404040" w:themeColor="accent5"/>
          <w:left w:val="single" w:sz="8" w:space="0" w:color="404040" w:themeColor="accent5"/>
          <w:bottom w:val="single" w:sz="8" w:space="0" w:color="404040" w:themeColor="accent5"/>
          <w:right w:val="single" w:sz="8" w:space="0" w:color="404040" w:themeColor="accent5"/>
        </w:tcBorders>
      </w:tcPr>
    </w:tblStylePr>
    <w:tblStylePr w:type="firstCol">
      <w:rPr>
        <w:b/>
        <w:bCs/>
      </w:rPr>
    </w:tblStylePr>
    <w:tblStylePr w:type="lastCol">
      <w:rPr>
        <w:b/>
        <w:bCs/>
      </w:rPr>
    </w:tblStylePr>
    <w:tblStylePr w:type="band1Vert">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tblStylePr w:type="band1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style>
  <w:style w:type="table" w:styleId="LightList-Accent6">
    <w:name w:val="Light List Accent 6"/>
    <w:basedOn w:val="TableNormal"/>
    <w:uiPriority w:val="61"/>
    <w:semiHidden/>
    <w:unhideWhenUsed/>
    <w:rsid w:val="006A4826"/>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tblBorders>
    </w:tblPr>
    <w:tblStylePr w:type="firstRow">
      <w:pPr>
        <w:spacing w:before="0" w:after="0" w:line="240" w:lineRule="auto"/>
      </w:pPr>
      <w:rPr>
        <w:b/>
        <w:bCs/>
        <w:color w:val="FFFFFF" w:themeColor="background1"/>
      </w:rPr>
      <w:tblPr/>
      <w:tcPr>
        <w:shd w:val="clear" w:color="auto" w:fill="C859A1" w:themeFill="accent6"/>
      </w:tcPr>
    </w:tblStylePr>
    <w:tblStylePr w:type="lastRow">
      <w:pPr>
        <w:spacing w:before="0" w:after="0" w:line="240" w:lineRule="auto"/>
      </w:pPr>
      <w:rPr>
        <w:b/>
        <w:bCs/>
      </w:rPr>
      <w:tblPr/>
      <w:tcPr>
        <w:tcBorders>
          <w:top w:val="double" w:sz="6" w:space="0" w:color="C859A1" w:themeColor="accent6"/>
          <w:left w:val="single" w:sz="8" w:space="0" w:color="C859A1" w:themeColor="accent6"/>
          <w:bottom w:val="single" w:sz="8" w:space="0" w:color="C859A1" w:themeColor="accent6"/>
          <w:right w:val="single" w:sz="8" w:space="0" w:color="C859A1" w:themeColor="accent6"/>
        </w:tcBorders>
      </w:tcPr>
    </w:tblStylePr>
    <w:tblStylePr w:type="firstCol">
      <w:rPr>
        <w:b/>
        <w:bCs/>
      </w:rPr>
    </w:tblStylePr>
    <w:tblStylePr w:type="lastCol">
      <w:rPr>
        <w:b/>
        <w:bCs/>
      </w:rPr>
    </w:tblStylePr>
    <w:tblStylePr w:type="band1Vert">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tblStylePr w:type="band1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style>
  <w:style w:type="table" w:styleId="LightShading">
    <w:name w:val="Light Shading"/>
    <w:basedOn w:val="TableNormal"/>
    <w:uiPriority w:val="60"/>
    <w:semiHidden/>
    <w:unhideWhenUsed/>
    <w:rsid w:val="006A48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A4826"/>
    <w:rPr>
      <w:color w:val="7D9D27" w:themeColor="accent1" w:themeShade="BF"/>
    </w:rPr>
    <w:tblPr>
      <w:tblStyleRowBandSize w:val="1"/>
      <w:tblStyleColBandSize w:val="1"/>
      <w:tblBorders>
        <w:top w:val="single" w:sz="8" w:space="0" w:color="A6CE39" w:themeColor="accent1"/>
        <w:bottom w:val="single" w:sz="8" w:space="0" w:color="A6CE39" w:themeColor="accent1"/>
      </w:tblBorders>
    </w:tblPr>
    <w:tblStylePr w:type="fir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la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left w:val="nil"/>
          <w:right w:val="nil"/>
          <w:insideH w:val="nil"/>
          <w:insideV w:val="nil"/>
        </w:tcBorders>
        <w:shd w:val="clear" w:color="auto" w:fill="E8F2CD" w:themeFill="accent1" w:themeFillTint="3F"/>
      </w:tcPr>
    </w:tblStylePr>
  </w:style>
  <w:style w:type="table" w:styleId="LightShading-Accent2">
    <w:name w:val="Light Shading Accent 2"/>
    <w:basedOn w:val="TableNormal"/>
    <w:uiPriority w:val="60"/>
    <w:semiHidden/>
    <w:unhideWhenUsed/>
    <w:rsid w:val="006A4826"/>
    <w:rPr>
      <w:color w:val="316F2A" w:themeColor="accent2" w:themeShade="BF"/>
    </w:rPr>
    <w:tblPr>
      <w:tblStyleRowBandSize w:val="1"/>
      <w:tblStyleColBandSize w:val="1"/>
      <w:tblBorders>
        <w:top w:val="single" w:sz="8" w:space="0" w:color="439539" w:themeColor="accent2"/>
        <w:bottom w:val="single" w:sz="8" w:space="0" w:color="439539" w:themeColor="accent2"/>
      </w:tblBorders>
    </w:tblPr>
    <w:tblStylePr w:type="firstRow">
      <w:pPr>
        <w:spacing w:before="0" w:after="0" w:line="240" w:lineRule="auto"/>
      </w:pPr>
      <w:rPr>
        <w:b/>
        <w:bCs/>
      </w:rPr>
      <w:tblPr/>
      <w:tcPr>
        <w:tcBorders>
          <w:top w:val="single" w:sz="8" w:space="0" w:color="439539" w:themeColor="accent2"/>
          <w:left w:val="nil"/>
          <w:bottom w:val="single" w:sz="8" w:space="0" w:color="439539" w:themeColor="accent2"/>
          <w:right w:val="nil"/>
          <w:insideH w:val="nil"/>
          <w:insideV w:val="nil"/>
        </w:tcBorders>
      </w:tcPr>
    </w:tblStylePr>
    <w:tblStylePr w:type="lastRow">
      <w:pPr>
        <w:spacing w:before="0" w:after="0" w:line="240" w:lineRule="auto"/>
      </w:pPr>
      <w:rPr>
        <w:b/>
        <w:bCs/>
      </w:rPr>
      <w:tblPr/>
      <w:tcPr>
        <w:tcBorders>
          <w:top w:val="single" w:sz="8" w:space="0" w:color="439539" w:themeColor="accent2"/>
          <w:left w:val="nil"/>
          <w:bottom w:val="single" w:sz="8" w:space="0" w:color="43953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AC8" w:themeFill="accent2" w:themeFillTint="3F"/>
      </w:tcPr>
    </w:tblStylePr>
    <w:tblStylePr w:type="band1Horz">
      <w:tblPr/>
      <w:tcPr>
        <w:tcBorders>
          <w:left w:val="nil"/>
          <w:right w:val="nil"/>
          <w:insideH w:val="nil"/>
          <w:insideV w:val="nil"/>
        </w:tcBorders>
        <w:shd w:val="clear" w:color="auto" w:fill="CCEAC8" w:themeFill="accent2" w:themeFillTint="3F"/>
      </w:tcPr>
    </w:tblStylePr>
  </w:style>
  <w:style w:type="table" w:styleId="LightShading-Accent3">
    <w:name w:val="Light Shading Accent 3"/>
    <w:basedOn w:val="TableNormal"/>
    <w:uiPriority w:val="60"/>
    <w:semiHidden/>
    <w:unhideWhenUsed/>
    <w:rsid w:val="006A4826"/>
    <w:rPr>
      <w:color w:val="7AA260" w:themeColor="accent3" w:themeShade="BF"/>
    </w:rPr>
    <w:tblPr>
      <w:tblStyleRowBandSize w:val="1"/>
      <w:tblStyleColBandSize w:val="1"/>
      <w:tblBorders>
        <w:top w:val="single" w:sz="8" w:space="0" w:color="A9C398" w:themeColor="accent3"/>
        <w:bottom w:val="single" w:sz="8" w:space="0" w:color="A9C398" w:themeColor="accent3"/>
      </w:tblBorders>
    </w:tblPr>
    <w:tblStylePr w:type="firstRow">
      <w:pPr>
        <w:spacing w:before="0" w:after="0" w:line="240" w:lineRule="auto"/>
      </w:pPr>
      <w:rPr>
        <w:b/>
        <w:bCs/>
      </w:rPr>
      <w:tblPr/>
      <w:tcPr>
        <w:tcBorders>
          <w:top w:val="single" w:sz="8" w:space="0" w:color="A9C398" w:themeColor="accent3"/>
          <w:left w:val="nil"/>
          <w:bottom w:val="single" w:sz="8" w:space="0" w:color="A9C398" w:themeColor="accent3"/>
          <w:right w:val="nil"/>
          <w:insideH w:val="nil"/>
          <w:insideV w:val="nil"/>
        </w:tcBorders>
      </w:tcPr>
    </w:tblStylePr>
    <w:tblStylePr w:type="lastRow">
      <w:pPr>
        <w:spacing w:before="0" w:after="0" w:line="240" w:lineRule="auto"/>
      </w:pPr>
      <w:rPr>
        <w:b/>
        <w:bCs/>
      </w:rPr>
      <w:tblPr/>
      <w:tcPr>
        <w:tcBorders>
          <w:top w:val="single" w:sz="8" w:space="0" w:color="A9C398" w:themeColor="accent3"/>
          <w:left w:val="nil"/>
          <w:bottom w:val="single" w:sz="8" w:space="0" w:color="A9C3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E5" w:themeFill="accent3" w:themeFillTint="3F"/>
      </w:tcPr>
    </w:tblStylePr>
    <w:tblStylePr w:type="band1Horz">
      <w:tblPr/>
      <w:tcPr>
        <w:tcBorders>
          <w:left w:val="nil"/>
          <w:right w:val="nil"/>
          <w:insideH w:val="nil"/>
          <w:insideV w:val="nil"/>
        </w:tcBorders>
        <w:shd w:val="clear" w:color="auto" w:fill="E9F0E5" w:themeFill="accent3" w:themeFillTint="3F"/>
      </w:tcPr>
    </w:tblStylePr>
  </w:style>
  <w:style w:type="table" w:styleId="LightShading-Accent4">
    <w:name w:val="Light Shading Accent 4"/>
    <w:basedOn w:val="TableNormal"/>
    <w:uiPriority w:val="60"/>
    <w:semiHidden/>
    <w:unhideWhenUsed/>
    <w:rsid w:val="006A4826"/>
    <w:rPr>
      <w:color w:val="7C7C7C" w:themeColor="accent4" w:themeShade="BF"/>
    </w:rPr>
    <w:tblPr>
      <w:tblStyleRowBandSize w:val="1"/>
      <w:tblStyleColBandSize w:val="1"/>
      <w:tblBorders>
        <w:top w:val="single" w:sz="8" w:space="0" w:color="A6A6A6" w:themeColor="accent4"/>
        <w:bottom w:val="single" w:sz="8" w:space="0" w:color="A6A6A6" w:themeColor="accent4"/>
      </w:tblBorders>
    </w:tblPr>
    <w:tblStylePr w:type="firstRow">
      <w:pPr>
        <w:spacing w:before="0" w:after="0" w:line="240" w:lineRule="auto"/>
      </w:pPr>
      <w:rPr>
        <w:b/>
        <w:bCs/>
      </w:rPr>
      <w:tblPr/>
      <w:tcPr>
        <w:tcBorders>
          <w:top w:val="single" w:sz="8" w:space="0" w:color="A6A6A6" w:themeColor="accent4"/>
          <w:left w:val="nil"/>
          <w:bottom w:val="single" w:sz="8" w:space="0" w:color="A6A6A6" w:themeColor="accent4"/>
          <w:right w:val="nil"/>
          <w:insideH w:val="nil"/>
          <w:insideV w:val="nil"/>
        </w:tcBorders>
      </w:tcPr>
    </w:tblStylePr>
    <w:tblStylePr w:type="lastRow">
      <w:pPr>
        <w:spacing w:before="0" w:after="0" w:line="240" w:lineRule="auto"/>
      </w:pPr>
      <w:rPr>
        <w:b/>
        <w:bCs/>
      </w:rPr>
      <w:tblPr/>
      <w:tcPr>
        <w:tcBorders>
          <w:top w:val="single" w:sz="8" w:space="0" w:color="A6A6A6" w:themeColor="accent4"/>
          <w:left w:val="nil"/>
          <w:bottom w:val="single" w:sz="8" w:space="0" w:color="A6A6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9" w:themeFill="accent4" w:themeFillTint="3F"/>
      </w:tcPr>
    </w:tblStylePr>
    <w:tblStylePr w:type="band1Horz">
      <w:tblPr/>
      <w:tcPr>
        <w:tcBorders>
          <w:left w:val="nil"/>
          <w:right w:val="nil"/>
          <w:insideH w:val="nil"/>
          <w:insideV w:val="nil"/>
        </w:tcBorders>
        <w:shd w:val="clear" w:color="auto" w:fill="E9E9E9" w:themeFill="accent4" w:themeFillTint="3F"/>
      </w:tcPr>
    </w:tblStylePr>
  </w:style>
  <w:style w:type="table" w:styleId="LightShading-Accent5">
    <w:name w:val="Light Shading Accent 5"/>
    <w:basedOn w:val="TableNormal"/>
    <w:uiPriority w:val="60"/>
    <w:semiHidden/>
    <w:unhideWhenUsed/>
    <w:rsid w:val="006A4826"/>
    <w:rPr>
      <w:color w:val="2F2F2F" w:themeColor="accent5" w:themeShade="BF"/>
    </w:rPr>
    <w:tblPr>
      <w:tblStyleRowBandSize w:val="1"/>
      <w:tblStyleColBandSize w:val="1"/>
      <w:tblBorders>
        <w:top w:val="single" w:sz="8" w:space="0" w:color="404040" w:themeColor="accent5"/>
        <w:bottom w:val="single" w:sz="8" w:space="0" w:color="404040" w:themeColor="accent5"/>
      </w:tblBorders>
    </w:tblPr>
    <w:tblStylePr w:type="firstRow">
      <w:pPr>
        <w:spacing w:before="0" w:after="0" w:line="240" w:lineRule="auto"/>
      </w:pPr>
      <w:rPr>
        <w:b/>
        <w:bCs/>
      </w:rPr>
      <w:tblPr/>
      <w:tcPr>
        <w:tcBorders>
          <w:top w:val="single" w:sz="8" w:space="0" w:color="404040" w:themeColor="accent5"/>
          <w:left w:val="nil"/>
          <w:bottom w:val="single" w:sz="8" w:space="0" w:color="404040" w:themeColor="accent5"/>
          <w:right w:val="nil"/>
          <w:insideH w:val="nil"/>
          <w:insideV w:val="nil"/>
        </w:tcBorders>
      </w:tcPr>
    </w:tblStylePr>
    <w:tblStylePr w:type="lastRow">
      <w:pPr>
        <w:spacing w:before="0" w:after="0" w:line="240" w:lineRule="auto"/>
      </w:pPr>
      <w:rPr>
        <w:b/>
        <w:bCs/>
      </w:rPr>
      <w:tblPr/>
      <w:tcPr>
        <w:tcBorders>
          <w:top w:val="single" w:sz="8" w:space="0" w:color="404040" w:themeColor="accent5"/>
          <w:left w:val="nil"/>
          <w:bottom w:val="single" w:sz="8" w:space="0" w:color="40404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accent5" w:themeFillTint="3F"/>
      </w:tcPr>
    </w:tblStylePr>
    <w:tblStylePr w:type="band1Horz">
      <w:tblPr/>
      <w:tcPr>
        <w:tcBorders>
          <w:left w:val="nil"/>
          <w:right w:val="nil"/>
          <w:insideH w:val="nil"/>
          <w:insideV w:val="nil"/>
        </w:tcBorders>
        <w:shd w:val="clear" w:color="auto" w:fill="CFCFCF" w:themeFill="accent5" w:themeFillTint="3F"/>
      </w:tcPr>
    </w:tblStylePr>
  </w:style>
  <w:style w:type="table" w:styleId="LightShading-Accent6">
    <w:name w:val="Light Shading Accent 6"/>
    <w:basedOn w:val="TableNormal"/>
    <w:uiPriority w:val="60"/>
    <w:semiHidden/>
    <w:unhideWhenUsed/>
    <w:rsid w:val="006A4826"/>
    <w:rPr>
      <w:color w:val="A2367C" w:themeColor="accent6" w:themeShade="BF"/>
    </w:rPr>
    <w:tblPr>
      <w:tblStyleRowBandSize w:val="1"/>
      <w:tblStyleColBandSize w:val="1"/>
      <w:tblBorders>
        <w:top w:val="single" w:sz="8" w:space="0" w:color="C859A1" w:themeColor="accent6"/>
        <w:bottom w:val="single" w:sz="8" w:space="0" w:color="C859A1" w:themeColor="accent6"/>
      </w:tblBorders>
    </w:tblPr>
    <w:tblStylePr w:type="firstRow">
      <w:pPr>
        <w:spacing w:before="0" w:after="0" w:line="240" w:lineRule="auto"/>
      </w:pPr>
      <w:rPr>
        <w:b/>
        <w:bCs/>
      </w:rPr>
      <w:tblPr/>
      <w:tcPr>
        <w:tcBorders>
          <w:top w:val="single" w:sz="8" w:space="0" w:color="C859A1" w:themeColor="accent6"/>
          <w:left w:val="nil"/>
          <w:bottom w:val="single" w:sz="8" w:space="0" w:color="C859A1" w:themeColor="accent6"/>
          <w:right w:val="nil"/>
          <w:insideH w:val="nil"/>
          <w:insideV w:val="nil"/>
        </w:tcBorders>
      </w:tcPr>
    </w:tblStylePr>
    <w:tblStylePr w:type="lastRow">
      <w:pPr>
        <w:spacing w:before="0" w:after="0" w:line="240" w:lineRule="auto"/>
      </w:pPr>
      <w:rPr>
        <w:b/>
        <w:bCs/>
      </w:rPr>
      <w:tblPr/>
      <w:tcPr>
        <w:tcBorders>
          <w:top w:val="single" w:sz="8" w:space="0" w:color="C859A1" w:themeColor="accent6"/>
          <w:left w:val="nil"/>
          <w:bottom w:val="single" w:sz="8" w:space="0" w:color="C859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5E7" w:themeFill="accent6" w:themeFillTint="3F"/>
      </w:tcPr>
    </w:tblStylePr>
    <w:tblStylePr w:type="band1Horz">
      <w:tblPr/>
      <w:tcPr>
        <w:tcBorders>
          <w:left w:val="nil"/>
          <w:right w:val="nil"/>
          <w:insideH w:val="nil"/>
          <w:insideV w:val="nil"/>
        </w:tcBorders>
        <w:shd w:val="clear" w:color="auto" w:fill="F1D5E7" w:themeFill="accent6" w:themeFillTint="3F"/>
      </w:tcPr>
    </w:tblStylePr>
  </w:style>
  <w:style w:type="table" w:styleId="MediumGrid1">
    <w:name w:val="Medium Grid 1"/>
    <w:basedOn w:val="TableNormal"/>
    <w:uiPriority w:val="67"/>
    <w:semiHidden/>
    <w:unhideWhenUsed/>
    <w:rsid w:val="006A48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A4826"/>
    <w:tblPr>
      <w:tblStyleRowBandSize w:val="1"/>
      <w:tblStyleColBandSize w:val="1"/>
      <w:tbl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single" w:sz="8" w:space="0" w:color="BCDA6A" w:themeColor="accent1" w:themeTint="BF"/>
        <w:insideV w:val="single" w:sz="8" w:space="0" w:color="BCDA6A" w:themeColor="accent1" w:themeTint="BF"/>
      </w:tblBorders>
    </w:tblPr>
    <w:tcPr>
      <w:shd w:val="clear" w:color="auto" w:fill="E8F2CD" w:themeFill="accent1" w:themeFillTint="3F"/>
    </w:tcPr>
    <w:tblStylePr w:type="firstRow">
      <w:rPr>
        <w:b/>
        <w:bCs/>
      </w:rPr>
    </w:tblStylePr>
    <w:tblStylePr w:type="lastRow">
      <w:rPr>
        <w:b/>
        <w:bCs/>
      </w:rPr>
      <w:tblPr/>
      <w:tcPr>
        <w:tcBorders>
          <w:top w:val="single" w:sz="18" w:space="0" w:color="BCDA6A" w:themeColor="accent1" w:themeTint="BF"/>
        </w:tcBorders>
      </w:tcPr>
    </w:tblStylePr>
    <w:tblStylePr w:type="firstCol">
      <w:rPr>
        <w:b/>
        <w:bCs/>
      </w:rPr>
    </w:tblStylePr>
    <w:tblStylePr w:type="lastCol">
      <w:rPr>
        <w:b/>
        <w:bCs/>
      </w:rPr>
    </w:tblStylePr>
    <w:tblStylePr w:type="band1Vert">
      <w:tblPr/>
      <w:tcPr>
        <w:shd w:val="clear" w:color="auto" w:fill="D2E69C" w:themeFill="accent1" w:themeFillTint="7F"/>
      </w:tcPr>
    </w:tblStylePr>
    <w:tblStylePr w:type="band1Horz">
      <w:tblPr/>
      <w:tcPr>
        <w:shd w:val="clear" w:color="auto" w:fill="D2E69C" w:themeFill="accent1" w:themeFillTint="7F"/>
      </w:tcPr>
    </w:tblStylePr>
  </w:style>
  <w:style w:type="table" w:styleId="MediumGrid1-Accent2">
    <w:name w:val="Medium Grid 1 Accent 2"/>
    <w:basedOn w:val="TableNormal"/>
    <w:uiPriority w:val="67"/>
    <w:semiHidden/>
    <w:unhideWhenUsed/>
    <w:rsid w:val="006A4826"/>
    <w:tblPr>
      <w:tblStyleRowBandSize w:val="1"/>
      <w:tblStyleColBandSize w:val="1"/>
      <w:tbl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single" w:sz="8" w:space="0" w:color="64C05A" w:themeColor="accent2" w:themeTint="BF"/>
        <w:insideV w:val="single" w:sz="8" w:space="0" w:color="64C05A" w:themeColor="accent2" w:themeTint="BF"/>
      </w:tblBorders>
    </w:tblPr>
    <w:tcPr>
      <w:shd w:val="clear" w:color="auto" w:fill="CCEAC8" w:themeFill="accent2" w:themeFillTint="3F"/>
    </w:tcPr>
    <w:tblStylePr w:type="firstRow">
      <w:rPr>
        <w:b/>
        <w:bCs/>
      </w:rPr>
    </w:tblStylePr>
    <w:tblStylePr w:type="lastRow">
      <w:rPr>
        <w:b/>
        <w:bCs/>
      </w:rPr>
      <w:tblPr/>
      <w:tcPr>
        <w:tcBorders>
          <w:top w:val="single" w:sz="18" w:space="0" w:color="64C05A" w:themeColor="accent2" w:themeTint="BF"/>
        </w:tcBorders>
      </w:tcPr>
    </w:tblStylePr>
    <w:tblStylePr w:type="firstCol">
      <w:rPr>
        <w:b/>
        <w:bCs/>
      </w:rPr>
    </w:tblStylePr>
    <w:tblStylePr w:type="lastCol">
      <w:rPr>
        <w:b/>
        <w:bCs/>
      </w:rPr>
    </w:tblStylePr>
    <w:tblStylePr w:type="band1Vert">
      <w:tblPr/>
      <w:tcPr>
        <w:shd w:val="clear" w:color="auto" w:fill="98D591" w:themeFill="accent2" w:themeFillTint="7F"/>
      </w:tcPr>
    </w:tblStylePr>
    <w:tblStylePr w:type="band1Horz">
      <w:tblPr/>
      <w:tcPr>
        <w:shd w:val="clear" w:color="auto" w:fill="98D591" w:themeFill="accent2" w:themeFillTint="7F"/>
      </w:tcPr>
    </w:tblStylePr>
  </w:style>
  <w:style w:type="table" w:styleId="MediumGrid1-Accent3">
    <w:name w:val="Medium Grid 1 Accent 3"/>
    <w:basedOn w:val="TableNormal"/>
    <w:uiPriority w:val="67"/>
    <w:semiHidden/>
    <w:unhideWhenUsed/>
    <w:rsid w:val="006A4826"/>
    <w:tblPr>
      <w:tblStyleRowBandSize w:val="1"/>
      <w:tblStyleColBandSize w:val="1"/>
      <w:tbl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single" w:sz="8" w:space="0" w:color="BED2B1" w:themeColor="accent3" w:themeTint="BF"/>
        <w:insideV w:val="single" w:sz="8" w:space="0" w:color="BED2B1" w:themeColor="accent3" w:themeTint="BF"/>
      </w:tblBorders>
    </w:tblPr>
    <w:tcPr>
      <w:shd w:val="clear" w:color="auto" w:fill="E9F0E5" w:themeFill="accent3" w:themeFillTint="3F"/>
    </w:tcPr>
    <w:tblStylePr w:type="firstRow">
      <w:rPr>
        <w:b/>
        <w:bCs/>
      </w:rPr>
    </w:tblStylePr>
    <w:tblStylePr w:type="lastRow">
      <w:rPr>
        <w:b/>
        <w:bCs/>
      </w:rPr>
      <w:tblPr/>
      <w:tcPr>
        <w:tcBorders>
          <w:top w:val="single" w:sz="18" w:space="0" w:color="BED2B1" w:themeColor="accent3" w:themeTint="BF"/>
        </w:tcBorders>
      </w:tcPr>
    </w:tblStylePr>
    <w:tblStylePr w:type="firstCol">
      <w:rPr>
        <w:b/>
        <w:bCs/>
      </w:rPr>
    </w:tblStylePr>
    <w:tblStylePr w:type="lastCol">
      <w:rPr>
        <w:b/>
        <w:bCs/>
      </w:rPr>
    </w:tblStylePr>
    <w:tblStylePr w:type="band1Vert">
      <w:tblPr/>
      <w:tcPr>
        <w:shd w:val="clear" w:color="auto" w:fill="D3E1CB" w:themeFill="accent3" w:themeFillTint="7F"/>
      </w:tcPr>
    </w:tblStylePr>
    <w:tblStylePr w:type="band1Horz">
      <w:tblPr/>
      <w:tcPr>
        <w:shd w:val="clear" w:color="auto" w:fill="D3E1CB" w:themeFill="accent3" w:themeFillTint="7F"/>
      </w:tcPr>
    </w:tblStylePr>
  </w:style>
  <w:style w:type="table" w:styleId="MediumGrid1-Accent4">
    <w:name w:val="Medium Grid 1 Accent 4"/>
    <w:basedOn w:val="TableNormal"/>
    <w:uiPriority w:val="67"/>
    <w:semiHidden/>
    <w:unhideWhenUsed/>
    <w:rsid w:val="006A4826"/>
    <w:tblPr>
      <w:tblStyleRowBandSize w:val="1"/>
      <w:tblStyleColBandSize w:val="1"/>
      <w:tbl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single" w:sz="8" w:space="0" w:color="BCBCBC" w:themeColor="accent4" w:themeTint="BF"/>
        <w:insideV w:val="single" w:sz="8" w:space="0" w:color="BCBCBC" w:themeColor="accent4" w:themeTint="BF"/>
      </w:tblBorders>
    </w:tblPr>
    <w:tcPr>
      <w:shd w:val="clear" w:color="auto" w:fill="E9E9E9" w:themeFill="accent4" w:themeFillTint="3F"/>
    </w:tcPr>
    <w:tblStylePr w:type="firstRow">
      <w:rPr>
        <w:b/>
        <w:bCs/>
      </w:rPr>
    </w:tblStylePr>
    <w:tblStylePr w:type="lastRow">
      <w:rPr>
        <w:b/>
        <w:bCs/>
      </w:rPr>
      <w:tblPr/>
      <w:tcPr>
        <w:tcBorders>
          <w:top w:val="single" w:sz="18" w:space="0" w:color="BCBCBC" w:themeColor="accent4" w:themeTint="BF"/>
        </w:tcBorders>
      </w:tcPr>
    </w:tblStylePr>
    <w:tblStylePr w:type="firstCol">
      <w:rPr>
        <w:b/>
        <w:bCs/>
      </w:rPr>
    </w:tblStylePr>
    <w:tblStylePr w:type="lastCol">
      <w:rPr>
        <w:b/>
        <w:bCs/>
      </w:rPr>
    </w:tblStylePr>
    <w:tblStylePr w:type="band1Vert">
      <w:tblPr/>
      <w:tcPr>
        <w:shd w:val="clear" w:color="auto" w:fill="D2D2D2" w:themeFill="accent4" w:themeFillTint="7F"/>
      </w:tcPr>
    </w:tblStylePr>
    <w:tblStylePr w:type="band1Horz">
      <w:tblPr/>
      <w:tcPr>
        <w:shd w:val="clear" w:color="auto" w:fill="D2D2D2" w:themeFill="accent4" w:themeFillTint="7F"/>
      </w:tcPr>
    </w:tblStylePr>
  </w:style>
  <w:style w:type="table" w:styleId="MediumGrid1-Accent5">
    <w:name w:val="Medium Grid 1 Accent 5"/>
    <w:basedOn w:val="TableNormal"/>
    <w:uiPriority w:val="67"/>
    <w:semiHidden/>
    <w:unhideWhenUsed/>
    <w:rsid w:val="006A4826"/>
    <w:tblPr>
      <w:tblStyleRowBandSize w:val="1"/>
      <w:tblStyleColBandSize w:val="1"/>
      <w:tbl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single" w:sz="8" w:space="0" w:color="6F6F6F" w:themeColor="accent5" w:themeTint="BF"/>
        <w:insideV w:val="single" w:sz="8" w:space="0" w:color="6F6F6F" w:themeColor="accent5" w:themeTint="BF"/>
      </w:tblBorders>
    </w:tblPr>
    <w:tcPr>
      <w:shd w:val="clear" w:color="auto" w:fill="CFCFCF" w:themeFill="accent5" w:themeFillTint="3F"/>
    </w:tcPr>
    <w:tblStylePr w:type="firstRow">
      <w:rPr>
        <w:b/>
        <w:bCs/>
      </w:rPr>
    </w:tblStylePr>
    <w:tblStylePr w:type="lastRow">
      <w:rPr>
        <w:b/>
        <w:bCs/>
      </w:rPr>
      <w:tblPr/>
      <w:tcPr>
        <w:tcBorders>
          <w:top w:val="single" w:sz="18" w:space="0" w:color="6F6F6F" w:themeColor="accent5" w:themeTint="BF"/>
        </w:tcBorders>
      </w:tcPr>
    </w:tblStylePr>
    <w:tblStylePr w:type="firstCol">
      <w:rPr>
        <w:b/>
        <w:bCs/>
      </w:rPr>
    </w:tblStylePr>
    <w:tblStylePr w:type="lastCol">
      <w:rPr>
        <w:b/>
        <w:bCs/>
      </w:rPr>
    </w:tblStylePr>
    <w:tblStylePr w:type="band1Vert">
      <w:tblPr/>
      <w:tcPr>
        <w:shd w:val="clear" w:color="auto" w:fill="9F9F9F" w:themeFill="accent5" w:themeFillTint="7F"/>
      </w:tcPr>
    </w:tblStylePr>
    <w:tblStylePr w:type="band1Horz">
      <w:tblPr/>
      <w:tcPr>
        <w:shd w:val="clear" w:color="auto" w:fill="9F9F9F" w:themeFill="accent5" w:themeFillTint="7F"/>
      </w:tcPr>
    </w:tblStylePr>
  </w:style>
  <w:style w:type="table" w:styleId="MediumGrid1-Accent6">
    <w:name w:val="Medium Grid 1 Accent 6"/>
    <w:basedOn w:val="TableNormal"/>
    <w:uiPriority w:val="67"/>
    <w:semiHidden/>
    <w:unhideWhenUsed/>
    <w:rsid w:val="006A4826"/>
    <w:tblPr>
      <w:tblStyleRowBandSize w:val="1"/>
      <w:tblStyleColBandSize w:val="1"/>
      <w:tbl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single" w:sz="8" w:space="0" w:color="D582B8" w:themeColor="accent6" w:themeTint="BF"/>
        <w:insideV w:val="single" w:sz="8" w:space="0" w:color="D582B8" w:themeColor="accent6" w:themeTint="BF"/>
      </w:tblBorders>
    </w:tblPr>
    <w:tcPr>
      <w:shd w:val="clear" w:color="auto" w:fill="F1D5E7" w:themeFill="accent6" w:themeFillTint="3F"/>
    </w:tcPr>
    <w:tblStylePr w:type="firstRow">
      <w:rPr>
        <w:b/>
        <w:bCs/>
      </w:rPr>
    </w:tblStylePr>
    <w:tblStylePr w:type="lastRow">
      <w:rPr>
        <w:b/>
        <w:bCs/>
      </w:rPr>
      <w:tblPr/>
      <w:tcPr>
        <w:tcBorders>
          <w:top w:val="single" w:sz="18" w:space="0" w:color="D582B8" w:themeColor="accent6" w:themeTint="BF"/>
        </w:tcBorders>
      </w:tcPr>
    </w:tblStylePr>
    <w:tblStylePr w:type="firstCol">
      <w:rPr>
        <w:b/>
        <w:bCs/>
      </w:rPr>
    </w:tblStylePr>
    <w:tblStylePr w:type="lastCol">
      <w:rPr>
        <w:b/>
        <w:bCs/>
      </w:rPr>
    </w:tblStylePr>
    <w:tblStylePr w:type="band1Vert">
      <w:tblPr/>
      <w:tcPr>
        <w:shd w:val="clear" w:color="auto" w:fill="E3ACD0" w:themeFill="accent6" w:themeFillTint="7F"/>
      </w:tcPr>
    </w:tblStylePr>
    <w:tblStylePr w:type="band1Horz">
      <w:tblPr/>
      <w:tcPr>
        <w:shd w:val="clear" w:color="auto" w:fill="E3ACD0" w:themeFill="accent6" w:themeFillTint="7F"/>
      </w:tcPr>
    </w:tblStylePr>
  </w:style>
  <w:style w:type="table" w:styleId="MediumGrid2">
    <w:name w:val="Medium Grid 2"/>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cPr>
      <w:shd w:val="clear" w:color="auto" w:fill="E8F2CD" w:themeFill="accent1" w:themeFillTint="3F"/>
    </w:tcPr>
    <w:tblStylePr w:type="firstRow">
      <w:rPr>
        <w:b/>
        <w:bCs/>
        <w:color w:val="000000" w:themeColor="text1"/>
      </w:rPr>
      <w:tblPr/>
      <w:tcPr>
        <w:shd w:val="clear" w:color="auto" w:fill="F6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D7" w:themeFill="accent1" w:themeFillTint="33"/>
      </w:tcPr>
    </w:tblStylePr>
    <w:tblStylePr w:type="band1Vert">
      <w:tblPr/>
      <w:tcPr>
        <w:shd w:val="clear" w:color="auto" w:fill="D2E69C" w:themeFill="accent1" w:themeFillTint="7F"/>
      </w:tcPr>
    </w:tblStylePr>
    <w:tblStylePr w:type="band1Horz">
      <w:tblPr/>
      <w:tcPr>
        <w:tcBorders>
          <w:insideH w:val="single" w:sz="6" w:space="0" w:color="A6CE39" w:themeColor="accent1"/>
          <w:insideV w:val="single" w:sz="6" w:space="0" w:color="A6CE39" w:themeColor="accent1"/>
        </w:tcBorders>
        <w:shd w:val="clear" w:color="auto" w:fill="D2E69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insideH w:val="single" w:sz="8" w:space="0" w:color="439539" w:themeColor="accent2"/>
        <w:insideV w:val="single" w:sz="8" w:space="0" w:color="439539" w:themeColor="accent2"/>
      </w:tblBorders>
    </w:tblPr>
    <w:tcPr>
      <w:shd w:val="clear" w:color="auto" w:fill="CCEAC8" w:themeFill="accent2" w:themeFillTint="3F"/>
    </w:tcPr>
    <w:tblStylePr w:type="firstRow">
      <w:rPr>
        <w:b/>
        <w:bCs/>
        <w:color w:val="000000" w:themeColor="text1"/>
      </w:rPr>
      <w:tblPr/>
      <w:tcPr>
        <w:shd w:val="clear" w:color="auto" w:fill="EAF6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ED2" w:themeFill="accent2" w:themeFillTint="33"/>
      </w:tcPr>
    </w:tblStylePr>
    <w:tblStylePr w:type="band1Vert">
      <w:tblPr/>
      <w:tcPr>
        <w:shd w:val="clear" w:color="auto" w:fill="98D591" w:themeFill="accent2" w:themeFillTint="7F"/>
      </w:tcPr>
    </w:tblStylePr>
    <w:tblStylePr w:type="band1Horz">
      <w:tblPr/>
      <w:tcPr>
        <w:tcBorders>
          <w:insideH w:val="single" w:sz="6" w:space="0" w:color="439539" w:themeColor="accent2"/>
          <w:insideV w:val="single" w:sz="6" w:space="0" w:color="439539" w:themeColor="accent2"/>
        </w:tcBorders>
        <w:shd w:val="clear" w:color="auto" w:fill="98D5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insideH w:val="single" w:sz="8" w:space="0" w:color="A9C398" w:themeColor="accent3"/>
        <w:insideV w:val="single" w:sz="8" w:space="0" w:color="A9C398" w:themeColor="accent3"/>
      </w:tblBorders>
    </w:tblPr>
    <w:tcPr>
      <w:shd w:val="clear" w:color="auto" w:fill="E9F0E5" w:themeFill="accent3" w:themeFillTint="3F"/>
    </w:tcPr>
    <w:tblStylePr w:type="firstRow">
      <w:rPr>
        <w:b/>
        <w:bCs/>
        <w:color w:val="000000" w:themeColor="text1"/>
      </w:rPr>
      <w:tblPr/>
      <w:tcPr>
        <w:shd w:val="clear" w:color="auto" w:fill="F6F9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3EA" w:themeFill="accent3" w:themeFillTint="33"/>
      </w:tcPr>
    </w:tblStylePr>
    <w:tblStylePr w:type="band1Vert">
      <w:tblPr/>
      <w:tcPr>
        <w:shd w:val="clear" w:color="auto" w:fill="D3E1CB" w:themeFill="accent3" w:themeFillTint="7F"/>
      </w:tcPr>
    </w:tblStylePr>
    <w:tblStylePr w:type="band1Horz">
      <w:tblPr/>
      <w:tcPr>
        <w:tcBorders>
          <w:insideH w:val="single" w:sz="6" w:space="0" w:color="A9C398" w:themeColor="accent3"/>
          <w:insideV w:val="single" w:sz="6" w:space="0" w:color="A9C398" w:themeColor="accent3"/>
        </w:tcBorders>
        <w:shd w:val="clear" w:color="auto" w:fill="D3E1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insideH w:val="single" w:sz="8" w:space="0" w:color="A6A6A6" w:themeColor="accent4"/>
        <w:insideV w:val="single" w:sz="8" w:space="0" w:color="A6A6A6" w:themeColor="accent4"/>
      </w:tblBorders>
    </w:tblPr>
    <w:tcPr>
      <w:shd w:val="clear" w:color="auto" w:fill="E9E9E9" w:themeFill="accent4" w:themeFillTint="3F"/>
    </w:tcPr>
    <w:tblStylePr w:type="firstRow">
      <w:rPr>
        <w:b/>
        <w:bCs/>
        <w:color w:val="000000" w:themeColor="text1"/>
      </w:rPr>
      <w:tblPr/>
      <w:tcPr>
        <w:shd w:val="clear" w:color="auto" w:fill="F6F6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4" w:themeFillTint="33"/>
      </w:tcPr>
    </w:tblStylePr>
    <w:tblStylePr w:type="band1Vert">
      <w:tblPr/>
      <w:tcPr>
        <w:shd w:val="clear" w:color="auto" w:fill="D2D2D2" w:themeFill="accent4" w:themeFillTint="7F"/>
      </w:tcPr>
    </w:tblStylePr>
    <w:tblStylePr w:type="band1Horz">
      <w:tblPr/>
      <w:tcPr>
        <w:tcBorders>
          <w:insideH w:val="single" w:sz="6" w:space="0" w:color="A6A6A6" w:themeColor="accent4"/>
          <w:insideV w:val="single" w:sz="6" w:space="0" w:color="A6A6A6" w:themeColor="accent4"/>
        </w:tcBorders>
        <w:shd w:val="clear" w:color="auto" w:fill="D2D2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insideH w:val="single" w:sz="8" w:space="0" w:color="404040" w:themeColor="accent5"/>
        <w:insideV w:val="single" w:sz="8" w:space="0" w:color="404040" w:themeColor="accent5"/>
      </w:tblBorders>
    </w:tblPr>
    <w:tcPr>
      <w:shd w:val="clear" w:color="auto" w:fill="CFCFCF" w:themeFill="accent5" w:themeFillTint="3F"/>
    </w:tcPr>
    <w:tblStylePr w:type="firstRow">
      <w:rPr>
        <w:b/>
        <w:bCs/>
        <w:color w:val="000000" w:themeColor="text1"/>
      </w:rPr>
      <w:tblPr/>
      <w:tcPr>
        <w:shd w:val="clear" w:color="auto" w:fill="ECEC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D8D8" w:themeFill="accent5" w:themeFillTint="33"/>
      </w:tcPr>
    </w:tblStylePr>
    <w:tblStylePr w:type="band1Vert">
      <w:tblPr/>
      <w:tcPr>
        <w:shd w:val="clear" w:color="auto" w:fill="9F9F9F" w:themeFill="accent5" w:themeFillTint="7F"/>
      </w:tcPr>
    </w:tblStylePr>
    <w:tblStylePr w:type="band1Horz">
      <w:tblPr/>
      <w:tcPr>
        <w:tcBorders>
          <w:insideH w:val="single" w:sz="6" w:space="0" w:color="404040" w:themeColor="accent5"/>
          <w:insideV w:val="single" w:sz="6" w:space="0" w:color="404040" w:themeColor="accent5"/>
        </w:tcBorders>
        <w:shd w:val="clear" w:color="auto" w:fill="9F9F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insideH w:val="single" w:sz="8" w:space="0" w:color="C859A1" w:themeColor="accent6"/>
        <w:insideV w:val="single" w:sz="8" w:space="0" w:color="C859A1" w:themeColor="accent6"/>
      </w:tblBorders>
    </w:tblPr>
    <w:tcPr>
      <w:shd w:val="clear" w:color="auto" w:fill="F1D5E7" w:themeFill="accent6" w:themeFillTint="3F"/>
    </w:tcPr>
    <w:tblStylePr w:type="firstRow">
      <w:rPr>
        <w:b/>
        <w:bCs/>
        <w:color w:val="000000" w:themeColor="text1"/>
      </w:rPr>
      <w:tblPr/>
      <w:tcPr>
        <w:shd w:val="clear" w:color="auto" w:fill="F9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DEC" w:themeFill="accent6" w:themeFillTint="33"/>
      </w:tcPr>
    </w:tblStylePr>
    <w:tblStylePr w:type="band1Vert">
      <w:tblPr/>
      <w:tcPr>
        <w:shd w:val="clear" w:color="auto" w:fill="E3ACD0" w:themeFill="accent6" w:themeFillTint="7F"/>
      </w:tcPr>
    </w:tblStylePr>
    <w:tblStylePr w:type="band1Horz">
      <w:tblPr/>
      <w:tcPr>
        <w:tcBorders>
          <w:insideH w:val="single" w:sz="6" w:space="0" w:color="C859A1" w:themeColor="accent6"/>
          <w:insideV w:val="single" w:sz="6" w:space="0" w:color="C859A1" w:themeColor="accent6"/>
        </w:tcBorders>
        <w:shd w:val="clear" w:color="auto" w:fill="E3AC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C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C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C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C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69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69C" w:themeFill="accent1" w:themeFillTint="7F"/>
      </w:tcPr>
    </w:tblStylePr>
  </w:style>
  <w:style w:type="table" w:styleId="MediumGrid3-Accent2">
    <w:name w:val="Medium Grid 3 Accent 2"/>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A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953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953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953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953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5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591" w:themeFill="accent2" w:themeFillTint="7F"/>
      </w:tcPr>
    </w:tblStylePr>
  </w:style>
  <w:style w:type="table" w:styleId="MediumGrid3-Accent3">
    <w:name w:val="Medium Grid 3 Accent 3"/>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0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C3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C3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C3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C3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1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1CB" w:themeFill="accent3" w:themeFillTint="7F"/>
      </w:tcPr>
    </w:tblStylePr>
  </w:style>
  <w:style w:type="table" w:styleId="MediumGrid3-Accent4">
    <w:name w:val="Medium Grid 3 Accent 4"/>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6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6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6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6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4" w:themeFillTint="7F"/>
      </w:tcPr>
    </w:tblStylePr>
  </w:style>
  <w:style w:type="table" w:styleId="MediumGrid3-Accent5">
    <w:name w:val="Medium Grid 3 Accent 5"/>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4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4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4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4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F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F9F" w:themeFill="accent5" w:themeFillTint="7F"/>
      </w:tcPr>
    </w:tblStylePr>
  </w:style>
  <w:style w:type="table" w:styleId="MediumGrid3-Accent6">
    <w:name w:val="Medium Grid 3 Accent 6"/>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5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59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59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59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59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AC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ACD0" w:themeFill="accent6" w:themeFillTint="7F"/>
      </w:tcPr>
    </w:tblStylePr>
  </w:style>
  <w:style w:type="table" w:styleId="MediumList1">
    <w:name w:val="Medium List 1"/>
    <w:basedOn w:val="TableNormal"/>
    <w:uiPriority w:val="65"/>
    <w:semiHidden/>
    <w:unhideWhenUsed/>
    <w:rsid w:val="006A482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44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A4826"/>
    <w:rPr>
      <w:color w:val="000000" w:themeColor="text1"/>
    </w:rPr>
    <w:tblPr>
      <w:tblStyleRowBandSize w:val="1"/>
      <w:tblStyleColBandSize w:val="1"/>
      <w:tblBorders>
        <w:top w:val="single" w:sz="8" w:space="0" w:color="A6CE39" w:themeColor="accent1"/>
        <w:bottom w:val="single" w:sz="8" w:space="0" w:color="A6CE39" w:themeColor="accent1"/>
      </w:tblBorders>
    </w:tblPr>
    <w:tblStylePr w:type="firstRow">
      <w:rPr>
        <w:rFonts w:asciiTheme="majorHAnsi" w:eastAsiaTheme="majorEastAsia" w:hAnsiTheme="majorHAnsi" w:cstheme="majorBidi"/>
      </w:rPr>
      <w:tblPr/>
      <w:tcPr>
        <w:tcBorders>
          <w:top w:val="nil"/>
          <w:bottom w:val="single" w:sz="8" w:space="0" w:color="A6CE39" w:themeColor="accent1"/>
        </w:tcBorders>
      </w:tcPr>
    </w:tblStylePr>
    <w:tblStylePr w:type="lastRow">
      <w:rPr>
        <w:b/>
        <w:bCs/>
        <w:color w:val="004436" w:themeColor="text2"/>
      </w:rPr>
      <w:tblPr/>
      <w:tcPr>
        <w:tcBorders>
          <w:top w:val="single" w:sz="8" w:space="0" w:color="A6CE39" w:themeColor="accent1"/>
          <w:bottom w:val="single" w:sz="8" w:space="0" w:color="A6CE39" w:themeColor="accent1"/>
        </w:tcBorders>
      </w:tcPr>
    </w:tblStylePr>
    <w:tblStylePr w:type="firstCol">
      <w:rPr>
        <w:b/>
        <w:bCs/>
      </w:rPr>
    </w:tblStylePr>
    <w:tblStylePr w:type="lastCol">
      <w:rPr>
        <w:b/>
        <w:bCs/>
      </w:rPr>
      <w:tblPr/>
      <w:tcPr>
        <w:tcBorders>
          <w:top w:val="single" w:sz="8" w:space="0" w:color="A6CE39" w:themeColor="accent1"/>
          <w:bottom w:val="single" w:sz="8" w:space="0" w:color="A6CE39" w:themeColor="accent1"/>
        </w:tcBorders>
      </w:tcPr>
    </w:tblStylePr>
    <w:tblStylePr w:type="band1Vert">
      <w:tblPr/>
      <w:tcPr>
        <w:shd w:val="clear" w:color="auto" w:fill="E8F2CD" w:themeFill="accent1" w:themeFillTint="3F"/>
      </w:tcPr>
    </w:tblStylePr>
    <w:tblStylePr w:type="band1Horz">
      <w:tblPr/>
      <w:tcPr>
        <w:shd w:val="clear" w:color="auto" w:fill="E8F2CD" w:themeFill="accent1" w:themeFillTint="3F"/>
      </w:tcPr>
    </w:tblStylePr>
  </w:style>
  <w:style w:type="table" w:styleId="MediumList1-Accent2">
    <w:name w:val="Medium List 1 Accent 2"/>
    <w:basedOn w:val="TableNormal"/>
    <w:uiPriority w:val="65"/>
    <w:semiHidden/>
    <w:unhideWhenUsed/>
    <w:rsid w:val="006A4826"/>
    <w:rPr>
      <w:color w:val="000000" w:themeColor="text1"/>
    </w:rPr>
    <w:tblPr>
      <w:tblStyleRowBandSize w:val="1"/>
      <w:tblStyleColBandSize w:val="1"/>
      <w:tblBorders>
        <w:top w:val="single" w:sz="8" w:space="0" w:color="439539" w:themeColor="accent2"/>
        <w:bottom w:val="single" w:sz="8" w:space="0" w:color="439539" w:themeColor="accent2"/>
      </w:tblBorders>
    </w:tblPr>
    <w:tblStylePr w:type="firstRow">
      <w:rPr>
        <w:rFonts w:asciiTheme="majorHAnsi" w:eastAsiaTheme="majorEastAsia" w:hAnsiTheme="majorHAnsi" w:cstheme="majorBidi"/>
      </w:rPr>
      <w:tblPr/>
      <w:tcPr>
        <w:tcBorders>
          <w:top w:val="nil"/>
          <w:bottom w:val="single" w:sz="8" w:space="0" w:color="439539" w:themeColor="accent2"/>
        </w:tcBorders>
      </w:tcPr>
    </w:tblStylePr>
    <w:tblStylePr w:type="lastRow">
      <w:rPr>
        <w:b/>
        <w:bCs/>
        <w:color w:val="004436" w:themeColor="text2"/>
      </w:rPr>
      <w:tblPr/>
      <w:tcPr>
        <w:tcBorders>
          <w:top w:val="single" w:sz="8" w:space="0" w:color="439539" w:themeColor="accent2"/>
          <w:bottom w:val="single" w:sz="8" w:space="0" w:color="439539" w:themeColor="accent2"/>
        </w:tcBorders>
      </w:tcPr>
    </w:tblStylePr>
    <w:tblStylePr w:type="firstCol">
      <w:rPr>
        <w:b/>
        <w:bCs/>
      </w:rPr>
    </w:tblStylePr>
    <w:tblStylePr w:type="lastCol">
      <w:rPr>
        <w:b/>
        <w:bCs/>
      </w:rPr>
      <w:tblPr/>
      <w:tcPr>
        <w:tcBorders>
          <w:top w:val="single" w:sz="8" w:space="0" w:color="439539" w:themeColor="accent2"/>
          <w:bottom w:val="single" w:sz="8" w:space="0" w:color="439539" w:themeColor="accent2"/>
        </w:tcBorders>
      </w:tcPr>
    </w:tblStylePr>
    <w:tblStylePr w:type="band1Vert">
      <w:tblPr/>
      <w:tcPr>
        <w:shd w:val="clear" w:color="auto" w:fill="CCEAC8" w:themeFill="accent2" w:themeFillTint="3F"/>
      </w:tcPr>
    </w:tblStylePr>
    <w:tblStylePr w:type="band1Horz">
      <w:tblPr/>
      <w:tcPr>
        <w:shd w:val="clear" w:color="auto" w:fill="CCEAC8" w:themeFill="accent2" w:themeFillTint="3F"/>
      </w:tcPr>
    </w:tblStylePr>
  </w:style>
  <w:style w:type="table" w:styleId="MediumList1-Accent3">
    <w:name w:val="Medium List 1 Accent 3"/>
    <w:basedOn w:val="TableNormal"/>
    <w:uiPriority w:val="65"/>
    <w:semiHidden/>
    <w:unhideWhenUsed/>
    <w:rsid w:val="006A4826"/>
    <w:rPr>
      <w:color w:val="000000" w:themeColor="text1"/>
    </w:rPr>
    <w:tblPr>
      <w:tblStyleRowBandSize w:val="1"/>
      <w:tblStyleColBandSize w:val="1"/>
      <w:tblBorders>
        <w:top w:val="single" w:sz="8" w:space="0" w:color="A9C398" w:themeColor="accent3"/>
        <w:bottom w:val="single" w:sz="8" w:space="0" w:color="A9C398" w:themeColor="accent3"/>
      </w:tblBorders>
    </w:tblPr>
    <w:tblStylePr w:type="firstRow">
      <w:rPr>
        <w:rFonts w:asciiTheme="majorHAnsi" w:eastAsiaTheme="majorEastAsia" w:hAnsiTheme="majorHAnsi" w:cstheme="majorBidi"/>
      </w:rPr>
      <w:tblPr/>
      <w:tcPr>
        <w:tcBorders>
          <w:top w:val="nil"/>
          <w:bottom w:val="single" w:sz="8" w:space="0" w:color="A9C398" w:themeColor="accent3"/>
        </w:tcBorders>
      </w:tcPr>
    </w:tblStylePr>
    <w:tblStylePr w:type="lastRow">
      <w:rPr>
        <w:b/>
        <w:bCs/>
        <w:color w:val="004436" w:themeColor="text2"/>
      </w:rPr>
      <w:tblPr/>
      <w:tcPr>
        <w:tcBorders>
          <w:top w:val="single" w:sz="8" w:space="0" w:color="A9C398" w:themeColor="accent3"/>
          <w:bottom w:val="single" w:sz="8" w:space="0" w:color="A9C398" w:themeColor="accent3"/>
        </w:tcBorders>
      </w:tcPr>
    </w:tblStylePr>
    <w:tblStylePr w:type="firstCol">
      <w:rPr>
        <w:b/>
        <w:bCs/>
      </w:rPr>
    </w:tblStylePr>
    <w:tblStylePr w:type="lastCol">
      <w:rPr>
        <w:b/>
        <w:bCs/>
      </w:rPr>
      <w:tblPr/>
      <w:tcPr>
        <w:tcBorders>
          <w:top w:val="single" w:sz="8" w:space="0" w:color="A9C398" w:themeColor="accent3"/>
          <w:bottom w:val="single" w:sz="8" w:space="0" w:color="A9C398" w:themeColor="accent3"/>
        </w:tcBorders>
      </w:tcPr>
    </w:tblStylePr>
    <w:tblStylePr w:type="band1Vert">
      <w:tblPr/>
      <w:tcPr>
        <w:shd w:val="clear" w:color="auto" w:fill="E9F0E5" w:themeFill="accent3" w:themeFillTint="3F"/>
      </w:tcPr>
    </w:tblStylePr>
    <w:tblStylePr w:type="band1Horz">
      <w:tblPr/>
      <w:tcPr>
        <w:shd w:val="clear" w:color="auto" w:fill="E9F0E5" w:themeFill="accent3" w:themeFillTint="3F"/>
      </w:tcPr>
    </w:tblStylePr>
  </w:style>
  <w:style w:type="table" w:styleId="MediumList1-Accent4">
    <w:name w:val="Medium List 1 Accent 4"/>
    <w:basedOn w:val="TableNormal"/>
    <w:uiPriority w:val="65"/>
    <w:semiHidden/>
    <w:unhideWhenUsed/>
    <w:rsid w:val="006A4826"/>
    <w:rPr>
      <w:color w:val="000000" w:themeColor="text1"/>
    </w:rPr>
    <w:tblPr>
      <w:tblStyleRowBandSize w:val="1"/>
      <w:tblStyleColBandSize w:val="1"/>
      <w:tblBorders>
        <w:top w:val="single" w:sz="8" w:space="0" w:color="A6A6A6" w:themeColor="accent4"/>
        <w:bottom w:val="single" w:sz="8" w:space="0" w:color="A6A6A6" w:themeColor="accent4"/>
      </w:tblBorders>
    </w:tblPr>
    <w:tblStylePr w:type="firstRow">
      <w:rPr>
        <w:rFonts w:asciiTheme="majorHAnsi" w:eastAsiaTheme="majorEastAsia" w:hAnsiTheme="majorHAnsi" w:cstheme="majorBidi"/>
      </w:rPr>
      <w:tblPr/>
      <w:tcPr>
        <w:tcBorders>
          <w:top w:val="nil"/>
          <w:bottom w:val="single" w:sz="8" w:space="0" w:color="A6A6A6" w:themeColor="accent4"/>
        </w:tcBorders>
      </w:tcPr>
    </w:tblStylePr>
    <w:tblStylePr w:type="lastRow">
      <w:rPr>
        <w:b/>
        <w:bCs/>
        <w:color w:val="004436" w:themeColor="text2"/>
      </w:rPr>
      <w:tblPr/>
      <w:tcPr>
        <w:tcBorders>
          <w:top w:val="single" w:sz="8" w:space="0" w:color="A6A6A6" w:themeColor="accent4"/>
          <w:bottom w:val="single" w:sz="8" w:space="0" w:color="A6A6A6" w:themeColor="accent4"/>
        </w:tcBorders>
      </w:tcPr>
    </w:tblStylePr>
    <w:tblStylePr w:type="firstCol">
      <w:rPr>
        <w:b/>
        <w:bCs/>
      </w:rPr>
    </w:tblStylePr>
    <w:tblStylePr w:type="lastCol">
      <w:rPr>
        <w:b/>
        <w:bCs/>
      </w:rPr>
      <w:tblPr/>
      <w:tcPr>
        <w:tcBorders>
          <w:top w:val="single" w:sz="8" w:space="0" w:color="A6A6A6" w:themeColor="accent4"/>
          <w:bottom w:val="single" w:sz="8" w:space="0" w:color="A6A6A6" w:themeColor="accent4"/>
        </w:tcBorders>
      </w:tcPr>
    </w:tblStylePr>
    <w:tblStylePr w:type="band1Vert">
      <w:tblPr/>
      <w:tcPr>
        <w:shd w:val="clear" w:color="auto" w:fill="E9E9E9" w:themeFill="accent4" w:themeFillTint="3F"/>
      </w:tcPr>
    </w:tblStylePr>
    <w:tblStylePr w:type="band1Horz">
      <w:tblPr/>
      <w:tcPr>
        <w:shd w:val="clear" w:color="auto" w:fill="E9E9E9" w:themeFill="accent4" w:themeFillTint="3F"/>
      </w:tcPr>
    </w:tblStylePr>
  </w:style>
  <w:style w:type="table" w:styleId="MediumList1-Accent5">
    <w:name w:val="Medium List 1 Accent 5"/>
    <w:basedOn w:val="TableNormal"/>
    <w:uiPriority w:val="65"/>
    <w:semiHidden/>
    <w:unhideWhenUsed/>
    <w:rsid w:val="006A4826"/>
    <w:rPr>
      <w:color w:val="000000" w:themeColor="text1"/>
    </w:rPr>
    <w:tblPr>
      <w:tblStyleRowBandSize w:val="1"/>
      <w:tblStyleColBandSize w:val="1"/>
      <w:tblBorders>
        <w:top w:val="single" w:sz="8" w:space="0" w:color="404040" w:themeColor="accent5"/>
        <w:bottom w:val="single" w:sz="8" w:space="0" w:color="404040" w:themeColor="accent5"/>
      </w:tblBorders>
    </w:tblPr>
    <w:tblStylePr w:type="firstRow">
      <w:rPr>
        <w:rFonts w:asciiTheme="majorHAnsi" w:eastAsiaTheme="majorEastAsia" w:hAnsiTheme="majorHAnsi" w:cstheme="majorBidi"/>
      </w:rPr>
      <w:tblPr/>
      <w:tcPr>
        <w:tcBorders>
          <w:top w:val="nil"/>
          <w:bottom w:val="single" w:sz="8" w:space="0" w:color="404040" w:themeColor="accent5"/>
        </w:tcBorders>
      </w:tcPr>
    </w:tblStylePr>
    <w:tblStylePr w:type="lastRow">
      <w:rPr>
        <w:b/>
        <w:bCs/>
        <w:color w:val="004436" w:themeColor="text2"/>
      </w:rPr>
      <w:tblPr/>
      <w:tcPr>
        <w:tcBorders>
          <w:top w:val="single" w:sz="8" w:space="0" w:color="404040" w:themeColor="accent5"/>
          <w:bottom w:val="single" w:sz="8" w:space="0" w:color="404040" w:themeColor="accent5"/>
        </w:tcBorders>
      </w:tcPr>
    </w:tblStylePr>
    <w:tblStylePr w:type="firstCol">
      <w:rPr>
        <w:b/>
        <w:bCs/>
      </w:rPr>
    </w:tblStylePr>
    <w:tblStylePr w:type="lastCol">
      <w:rPr>
        <w:b/>
        <w:bCs/>
      </w:rPr>
      <w:tblPr/>
      <w:tcPr>
        <w:tcBorders>
          <w:top w:val="single" w:sz="8" w:space="0" w:color="404040" w:themeColor="accent5"/>
          <w:bottom w:val="single" w:sz="8" w:space="0" w:color="404040" w:themeColor="accent5"/>
        </w:tcBorders>
      </w:tcPr>
    </w:tblStylePr>
    <w:tblStylePr w:type="band1Vert">
      <w:tblPr/>
      <w:tcPr>
        <w:shd w:val="clear" w:color="auto" w:fill="CFCFCF" w:themeFill="accent5" w:themeFillTint="3F"/>
      </w:tcPr>
    </w:tblStylePr>
    <w:tblStylePr w:type="band1Horz">
      <w:tblPr/>
      <w:tcPr>
        <w:shd w:val="clear" w:color="auto" w:fill="CFCFCF" w:themeFill="accent5" w:themeFillTint="3F"/>
      </w:tcPr>
    </w:tblStylePr>
  </w:style>
  <w:style w:type="table" w:styleId="MediumList1-Accent6">
    <w:name w:val="Medium List 1 Accent 6"/>
    <w:basedOn w:val="TableNormal"/>
    <w:uiPriority w:val="65"/>
    <w:semiHidden/>
    <w:unhideWhenUsed/>
    <w:rsid w:val="006A4826"/>
    <w:rPr>
      <w:color w:val="000000" w:themeColor="text1"/>
    </w:rPr>
    <w:tblPr>
      <w:tblStyleRowBandSize w:val="1"/>
      <w:tblStyleColBandSize w:val="1"/>
      <w:tblBorders>
        <w:top w:val="single" w:sz="8" w:space="0" w:color="C859A1" w:themeColor="accent6"/>
        <w:bottom w:val="single" w:sz="8" w:space="0" w:color="C859A1" w:themeColor="accent6"/>
      </w:tblBorders>
    </w:tblPr>
    <w:tblStylePr w:type="firstRow">
      <w:rPr>
        <w:rFonts w:asciiTheme="majorHAnsi" w:eastAsiaTheme="majorEastAsia" w:hAnsiTheme="majorHAnsi" w:cstheme="majorBidi"/>
      </w:rPr>
      <w:tblPr/>
      <w:tcPr>
        <w:tcBorders>
          <w:top w:val="nil"/>
          <w:bottom w:val="single" w:sz="8" w:space="0" w:color="C859A1" w:themeColor="accent6"/>
        </w:tcBorders>
      </w:tcPr>
    </w:tblStylePr>
    <w:tblStylePr w:type="lastRow">
      <w:rPr>
        <w:b/>
        <w:bCs/>
        <w:color w:val="004436" w:themeColor="text2"/>
      </w:rPr>
      <w:tblPr/>
      <w:tcPr>
        <w:tcBorders>
          <w:top w:val="single" w:sz="8" w:space="0" w:color="C859A1" w:themeColor="accent6"/>
          <w:bottom w:val="single" w:sz="8" w:space="0" w:color="C859A1" w:themeColor="accent6"/>
        </w:tcBorders>
      </w:tcPr>
    </w:tblStylePr>
    <w:tblStylePr w:type="firstCol">
      <w:rPr>
        <w:b/>
        <w:bCs/>
      </w:rPr>
    </w:tblStylePr>
    <w:tblStylePr w:type="lastCol">
      <w:rPr>
        <w:b/>
        <w:bCs/>
      </w:rPr>
      <w:tblPr/>
      <w:tcPr>
        <w:tcBorders>
          <w:top w:val="single" w:sz="8" w:space="0" w:color="C859A1" w:themeColor="accent6"/>
          <w:bottom w:val="single" w:sz="8" w:space="0" w:color="C859A1" w:themeColor="accent6"/>
        </w:tcBorders>
      </w:tcPr>
    </w:tblStylePr>
    <w:tblStylePr w:type="band1Vert">
      <w:tblPr/>
      <w:tcPr>
        <w:shd w:val="clear" w:color="auto" w:fill="F1D5E7" w:themeFill="accent6" w:themeFillTint="3F"/>
      </w:tcPr>
    </w:tblStylePr>
    <w:tblStylePr w:type="band1Horz">
      <w:tblPr/>
      <w:tcPr>
        <w:shd w:val="clear" w:color="auto" w:fill="F1D5E7" w:themeFill="accent6" w:themeFillTint="3F"/>
      </w:tcPr>
    </w:tblStylePr>
  </w:style>
  <w:style w:type="table" w:styleId="MediumList2">
    <w:name w:val="Medium List 2"/>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rPr>
        <w:sz w:val="24"/>
        <w:szCs w:val="24"/>
      </w:rPr>
      <w:tblPr/>
      <w:tcPr>
        <w:tcBorders>
          <w:top w:val="nil"/>
          <w:left w:val="nil"/>
          <w:bottom w:val="single" w:sz="24" w:space="0" w:color="A6CE39" w:themeColor="accent1"/>
          <w:right w:val="nil"/>
          <w:insideH w:val="nil"/>
          <w:insideV w:val="nil"/>
        </w:tcBorders>
        <w:shd w:val="clear" w:color="auto" w:fill="FFFFFF" w:themeFill="background1"/>
      </w:tcPr>
    </w:tblStylePr>
    <w:tblStylePr w:type="lastRow">
      <w:tblPr/>
      <w:tcPr>
        <w:tcBorders>
          <w:top w:val="single" w:sz="8" w:space="0" w:color="A6C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CE39" w:themeColor="accent1"/>
          <w:insideH w:val="nil"/>
          <w:insideV w:val="nil"/>
        </w:tcBorders>
        <w:shd w:val="clear" w:color="auto" w:fill="FFFFFF" w:themeFill="background1"/>
      </w:tcPr>
    </w:tblStylePr>
    <w:tblStylePr w:type="lastCol">
      <w:tblPr/>
      <w:tcPr>
        <w:tcBorders>
          <w:top w:val="nil"/>
          <w:left w:val="single" w:sz="8" w:space="0" w:color="A6C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top w:val="nil"/>
          <w:bottom w:val="nil"/>
          <w:insideH w:val="nil"/>
          <w:insideV w:val="nil"/>
        </w:tcBorders>
        <w:shd w:val="clear" w:color="auto" w:fill="E8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tblBorders>
    </w:tblPr>
    <w:tblStylePr w:type="firstRow">
      <w:rPr>
        <w:sz w:val="24"/>
        <w:szCs w:val="24"/>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tblPr/>
      <w:tcPr>
        <w:tcBorders>
          <w:top w:val="single" w:sz="8" w:space="0" w:color="43953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39539" w:themeColor="accent2"/>
          <w:insideH w:val="nil"/>
          <w:insideV w:val="nil"/>
        </w:tcBorders>
        <w:shd w:val="clear" w:color="auto" w:fill="FFFFFF" w:themeFill="background1"/>
      </w:tcPr>
    </w:tblStylePr>
    <w:tblStylePr w:type="lastCol">
      <w:tblPr/>
      <w:tcPr>
        <w:tcBorders>
          <w:top w:val="nil"/>
          <w:left w:val="single" w:sz="8" w:space="0" w:color="43953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AC8" w:themeFill="accent2" w:themeFillTint="3F"/>
      </w:tcPr>
    </w:tblStylePr>
    <w:tblStylePr w:type="band1Horz">
      <w:tblPr/>
      <w:tcPr>
        <w:tcBorders>
          <w:top w:val="nil"/>
          <w:bottom w:val="nil"/>
          <w:insideH w:val="nil"/>
          <w:insideV w:val="nil"/>
        </w:tcBorders>
        <w:shd w:val="clear" w:color="auto" w:fill="CCEA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tblBorders>
    </w:tblPr>
    <w:tblStylePr w:type="firstRow">
      <w:rPr>
        <w:sz w:val="24"/>
        <w:szCs w:val="24"/>
      </w:rPr>
      <w:tblPr/>
      <w:tcPr>
        <w:tcBorders>
          <w:top w:val="nil"/>
          <w:left w:val="nil"/>
          <w:bottom w:val="single" w:sz="24" w:space="0" w:color="A9C398" w:themeColor="accent3"/>
          <w:right w:val="nil"/>
          <w:insideH w:val="nil"/>
          <w:insideV w:val="nil"/>
        </w:tcBorders>
        <w:shd w:val="clear" w:color="auto" w:fill="FFFFFF" w:themeFill="background1"/>
      </w:tcPr>
    </w:tblStylePr>
    <w:tblStylePr w:type="lastRow">
      <w:tblPr/>
      <w:tcPr>
        <w:tcBorders>
          <w:top w:val="single" w:sz="8" w:space="0" w:color="A9C39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C398" w:themeColor="accent3"/>
          <w:insideH w:val="nil"/>
          <w:insideV w:val="nil"/>
        </w:tcBorders>
        <w:shd w:val="clear" w:color="auto" w:fill="FFFFFF" w:themeFill="background1"/>
      </w:tcPr>
    </w:tblStylePr>
    <w:tblStylePr w:type="lastCol">
      <w:tblPr/>
      <w:tcPr>
        <w:tcBorders>
          <w:top w:val="nil"/>
          <w:left w:val="single" w:sz="8" w:space="0" w:color="A9C3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0E5" w:themeFill="accent3" w:themeFillTint="3F"/>
      </w:tcPr>
    </w:tblStylePr>
    <w:tblStylePr w:type="band1Horz">
      <w:tblPr/>
      <w:tcPr>
        <w:tcBorders>
          <w:top w:val="nil"/>
          <w:bottom w:val="nil"/>
          <w:insideH w:val="nil"/>
          <w:insideV w:val="nil"/>
        </w:tcBorders>
        <w:shd w:val="clear" w:color="auto" w:fill="E9F0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tblBorders>
    </w:tblPr>
    <w:tblStylePr w:type="firstRow">
      <w:rPr>
        <w:sz w:val="24"/>
        <w:szCs w:val="24"/>
      </w:rPr>
      <w:tblPr/>
      <w:tcPr>
        <w:tcBorders>
          <w:top w:val="nil"/>
          <w:left w:val="nil"/>
          <w:bottom w:val="single" w:sz="24" w:space="0" w:color="A6A6A6" w:themeColor="accent4"/>
          <w:right w:val="nil"/>
          <w:insideH w:val="nil"/>
          <w:insideV w:val="nil"/>
        </w:tcBorders>
        <w:shd w:val="clear" w:color="auto" w:fill="FFFFFF" w:themeFill="background1"/>
      </w:tcPr>
    </w:tblStylePr>
    <w:tblStylePr w:type="lastRow">
      <w:tblPr/>
      <w:tcPr>
        <w:tcBorders>
          <w:top w:val="single" w:sz="8" w:space="0" w:color="A6A6A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6A6" w:themeColor="accent4"/>
          <w:insideH w:val="nil"/>
          <w:insideV w:val="nil"/>
        </w:tcBorders>
        <w:shd w:val="clear" w:color="auto" w:fill="FFFFFF" w:themeFill="background1"/>
      </w:tcPr>
    </w:tblStylePr>
    <w:tblStylePr w:type="lastCol">
      <w:tblPr/>
      <w:tcPr>
        <w:tcBorders>
          <w:top w:val="nil"/>
          <w:left w:val="single" w:sz="8" w:space="0" w:color="A6A6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9" w:themeFill="accent4" w:themeFillTint="3F"/>
      </w:tcPr>
    </w:tblStylePr>
    <w:tblStylePr w:type="band1Horz">
      <w:tblPr/>
      <w:tcPr>
        <w:tcBorders>
          <w:top w:val="nil"/>
          <w:bottom w:val="nil"/>
          <w:insideH w:val="nil"/>
          <w:insideV w:val="nil"/>
        </w:tcBorders>
        <w:shd w:val="clear" w:color="auto" w:fill="E9E9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tblBorders>
    </w:tblPr>
    <w:tblStylePr w:type="firstRow">
      <w:rPr>
        <w:sz w:val="24"/>
        <w:szCs w:val="24"/>
      </w:rPr>
      <w:tblPr/>
      <w:tcPr>
        <w:tcBorders>
          <w:top w:val="nil"/>
          <w:left w:val="nil"/>
          <w:bottom w:val="single" w:sz="24" w:space="0" w:color="404040" w:themeColor="accent5"/>
          <w:right w:val="nil"/>
          <w:insideH w:val="nil"/>
          <w:insideV w:val="nil"/>
        </w:tcBorders>
        <w:shd w:val="clear" w:color="auto" w:fill="FFFFFF" w:themeFill="background1"/>
      </w:tcPr>
    </w:tblStylePr>
    <w:tblStylePr w:type="lastRow">
      <w:tblPr/>
      <w:tcPr>
        <w:tcBorders>
          <w:top w:val="single" w:sz="8" w:space="0" w:color="40404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40" w:themeColor="accent5"/>
          <w:insideH w:val="nil"/>
          <w:insideV w:val="nil"/>
        </w:tcBorders>
        <w:shd w:val="clear" w:color="auto" w:fill="FFFFFF" w:themeFill="background1"/>
      </w:tcPr>
    </w:tblStylePr>
    <w:tblStylePr w:type="lastCol">
      <w:tblPr/>
      <w:tcPr>
        <w:tcBorders>
          <w:top w:val="nil"/>
          <w:left w:val="single" w:sz="8" w:space="0" w:color="40404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F" w:themeFill="accent5" w:themeFillTint="3F"/>
      </w:tcPr>
    </w:tblStylePr>
    <w:tblStylePr w:type="band1Horz">
      <w:tblPr/>
      <w:tcPr>
        <w:tcBorders>
          <w:top w:val="nil"/>
          <w:bottom w:val="nil"/>
          <w:insideH w:val="nil"/>
          <w:insideV w:val="nil"/>
        </w:tcBorders>
        <w:shd w:val="clear" w:color="auto" w:fill="CFCF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tblBorders>
    </w:tblPr>
    <w:tblStylePr w:type="firstRow">
      <w:rPr>
        <w:sz w:val="24"/>
        <w:szCs w:val="24"/>
      </w:rPr>
      <w:tblPr/>
      <w:tcPr>
        <w:tcBorders>
          <w:top w:val="nil"/>
          <w:left w:val="nil"/>
          <w:bottom w:val="single" w:sz="24" w:space="0" w:color="C859A1" w:themeColor="accent6"/>
          <w:right w:val="nil"/>
          <w:insideH w:val="nil"/>
          <w:insideV w:val="nil"/>
        </w:tcBorders>
        <w:shd w:val="clear" w:color="auto" w:fill="FFFFFF" w:themeFill="background1"/>
      </w:tcPr>
    </w:tblStylePr>
    <w:tblStylePr w:type="lastRow">
      <w:tblPr/>
      <w:tcPr>
        <w:tcBorders>
          <w:top w:val="single" w:sz="8" w:space="0" w:color="C859A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59A1" w:themeColor="accent6"/>
          <w:insideH w:val="nil"/>
          <w:insideV w:val="nil"/>
        </w:tcBorders>
        <w:shd w:val="clear" w:color="auto" w:fill="FFFFFF" w:themeFill="background1"/>
      </w:tcPr>
    </w:tblStylePr>
    <w:tblStylePr w:type="lastCol">
      <w:tblPr/>
      <w:tcPr>
        <w:tcBorders>
          <w:top w:val="nil"/>
          <w:left w:val="single" w:sz="8" w:space="0" w:color="C859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5E7" w:themeFill="accent6" w:themeFillTint="3F"/>
      </w:tcPr>
    </w:tblStylePr>
    <w:tblStylePr w:type="band1Horz">
      <w:tblPr/>
      <w:tcPr>
        <w:tcBorders>
          <w:top w:val="nil"/>
          <w:bottom w:val="nil"/>
          <w:insideH w:val="nil"/>
          <w:insideV w:val="nil"/>
        </w:tcBorders>
        <w:shd w:val="clear" w:color="auto" w:fill="F1D5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A48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A4826"/>
    <w:tblPr>
      <w:tblStyleRowBandSize w:val="1"/>
      <w:tblStyleColBandSize w:val="1"/>
      <w:tbl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single" w:sz="8" w:space="0" w:color="BCDA6A" w:themeColor="accent1" w:themeTint="BF"/>
      </w:tblBorders>
    </w:tblPr>
    <w:tblStylePr w:type="firstRow">
      <w:pPr>
        <w:spacing w:before="0" w:after="0" w:line="240" w:lineRule="auto"/>
      </w:pPr>
      <w:rPr>
        <w:b/>
        <w:bCs/>
        <w:color w:val="FFFFFF" w:themeColor="background1"/>
      </w:rPr>
      <w:tblPr/>
      <w:tcPr>
        <w:tc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nil"/>
          <w:insideV w:val="nil"/>
        </w:tcBorders>
        <w:shd w:val="clear" w:color="auto" w:fill="A6CE39" w:themeFill="accent1"/>
      </w:tcPr>
    </w:tblStylePr>
    <w:tblStylePr w:type="lastRow">
      <w:pPr>
        <w:spacing w:before="0" w:after="0" w:line="240" w:lineRule="auto"/>
      </w:pPr>
      <w:rPr>
        <w:b/>
        <w:bCs/>
      </w:rPr>
      <w:tblPr/>
      <w:tcPr>
        <w:tcBorders>
          <w:top w:val="double" w:sz="6"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F2CD" w:themeFill="accent1" w:themeFillTint="3F"/>
      </w:tcPr>
    </w:tblStylePr>
    <w:tblStylePr w:type="band1Horz">
      <w:tblPr/>
      <w:tcPr>
        <w:tcBorders>
          <w:insideH w:val="nil"/>
          <w:insideV w:val="nil"/>
        </w:tcBorders>
        <w:shd w:val="clear" w:color="auto" w:fill="E8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A4826"/>
    <w:tblPr>
      <w:tblStyleRowBandSize w:val="1"/>
      <w:tblStyleColBandSize w:val="1"/>
      <w:tbl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single" w:sz="8" w:space="0" w:color="64C05A" w:themeColor="accent2" w:themeTint="BF"/>
      </w:tblBorders>
    </w:tblPr>
    <w:tblStylePr w:type="firstRow">
      <w:pPr>
        <w:spacing w:before="0" w:after="0" w:line="240" w:lineRule="auto"/>
      </w:pPr>
      <w:rPr>
        <w:b/>
        <w:bCs/>
        <w:color w:val="FFFFFF" w:themeColor="background1"/>
      </w:rPr>
      <w:tblPr/>
      <w:tcPr>
        <w:tc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nil"/>
          <w:insideV w:val="nil"/>
        </w:tcBorders>
        <w:shd w:val="clear" w:color="auto" w:fill="439539" w:themeFill="accent2"/>
      </w:tcPr>
    </w:tblStylePr>
    <w:tblStylePr w:type="lastRow">
      <w:pPr>
        <w:spacing w:before="0" w:after="0" w:line="240" w:lineRule="auto"/>
      </w:pPr>
      <w:rPr>
        <w:b/>
        <w:bCs/>
      </w:rPr>
      <w:tblPr/>
      <w:tcPr>
        <w:tcBorders>
          <w:top w:val="double" w:sz="6"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AC8" w:themeFill="accent2" w:themeFillTint="3F"/>
      </w:tcPr>
    </w:tblStylePr>
    <w:tblStylePr w:type="band1Horz">
      <w:tblPr/>
      <w:tcPr>
        <w:tcBorders>
          <w:insideH w:val="nil"/>
          <w:insideV w:val="nil"/>
        </w:tcBorders>
        <w:shd w:val="clear" w:color="auto" w:fill="CCEA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A4826"/>
    <w:tblPr>
      <w:tblStyleRowBandSize w:val="1"/>
      <w:tblStyleColBandSize w:val="1"/>
      <w:tbl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single" w:sz="8" w:space="0" w:color="BED2B1" w:themeColor="accent3" w:themeTint="BF"/>
      </w:tblBorders>
    </w:tblPr>
    <w:tblStylePr w:type="firstRow">
      <w:pPr>
        <w:spacing w:before="0" w:after="0" w:line="240" w:lineRule="auto"/>
      </w:pPr>
      <w:rPr>
        <w:b/>
        <w:bCs/>
        <w:color w:val="FFFFFF" w:themeColor="background1"/>
      </w:rPr>
      <w:tblPr/>
      <w:tcPr>
        <w:tc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nil"/>
          <w:insideV w:val="nil"/>
        </w:tcBorders>
        <w:shd w:val="clear" w:color="auto" w:fill="A9C398" w:themeFill="accent3"/>
      </w:tcPr>
    </w:tblStylePr>
    <w:tblStylePr w:type="lastRow">
      <w:pPr>
        <w:spacing w:before="0" w:after="0" w:line="240" w:lineRule="auto"/>
      </w:pPr>
      <w:rPr>
        <w:b/>
        <w:bCs/>
      </w:rPr>
      <w:tblPr/>
      <w:tcPr>
        <w:tcBorders>
          <w:top w:val="double" w:sz="6"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0E5" w:themeFill="accent3" w:themeFillTint="3F"/>
      </w:tcPr>
    </w:tblStylePr>
    <w:tblStylePr w:type="band1Horz">
      <w:tblPr/>
      <w:tcPr>
        <w:tcBorders>
          <w:insideH w:val="nil"/>
          <w:insideV w:val="nil"/>
        </w:tcBorders>
        <w:shd w:val="clear" w:color="auto" w:fill="E9F0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A4826"/>
    <w:tblPr>
      <w:tblStyleRowBandSize w:val="1"/>
      <w:tblStyleColBandSize w:val="1"/>
      <w:tbl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single" w:sz="8" w:space="0" w:color="BCBCBC" w:themeColor="accent4" w:themeTint="BF"/>
      </w:tblBorders>
    </w:tblPr>
    <w:tblStylePr w:type="firstRow">
      <w:pPr>
        <w:spacing w:before="0" w:after="0" w:line="240" w:lineRule="auto"/>
      </w:pPr>
      <w:rPr>
        <w:b/>
        <w:bCs/>
        <w:color w:val="FFFFFF" w:themeColor="background1"/>
      </w:rPr>
      <w:tblPr/>
      <w:tcPr>
        <w:tc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nil"/>
          <w:insideV w:val="nil"/>
        </w:tcBorders>
        <w:shd w:val="clear" w:color="auto" w:fill="A6A6A6" w:themeFill="accent4"/>
      </w:tcPr>
    </w:tblStylePr>
    <w:tblStylePr w:type="lastRow">
      <w:pPr>
        <w:spacing w:before="0" w:after="0" w:line="240" w:lineRule="auto"/>
      </w:pPr>
      <w:rPr>
        <w:b/>
        <w:bCs/>
      </w:rPr>
      <w:tblPr/>
      <w:tcPr>
        <w:tcBorders>
          <w:top w:val="double" w:sz="6"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E9E9" w:themeFill="accent4" w:themeFillTint="3F"/>
      </w:tcPr>
    </w:tblStylePr>
    <w:tblStylePr w:type="band1Horz">
      <w:tblPr/>
      <w:tcPr>
        <w:tcBorders>
          <w:insideH w:val="nil"/>
          <w:insideV w:val="nil"/>
        </w:tcBorders>
        <w:shd w:val="clear" w:color="auto" w:fill="E9E9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A4826"/>
    <w:tblPr>
      <w:tblStyleRowBandSize w:val="1"/>
      <w:tblStyleColBandSize w:val="1"/>
      <w:tbl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single" w:sz="8" w:space="0" w:color="6F6F6F" w:themeColor="accent5" w:themeTint="BF"/>
      </w:tblBorders>
    </w:tblPr>
    <w:tblStylePr w:type="firstRow">
      <w:pPr>
        <w:spacing w:before="0" w:after="0" w:line="240" w:lineRule="auto"/>
      </w:pPr>
      <w:rPr>
        <w:b/>
        <w:bCs/>
        <w:color w:val="FFFFFF" w:themeColor="background1"/>
      </w:rPr>
      <w:tblPr/>
      <w:tcPr>
        <w:tc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nil"/>
          <w:insideV w:val="nil"/>
        </w:tcBorders>
        <w:shd w:val="clear" w:color="auto" w:fill="404040" w:themeFill="accent5"/>
      </w:tcPr>
    </w:tblStylePr>
    <w:tblStylePr w:type="lastRow">
      <w:pPr>
        <w:spacing w:before="0" w:after="0" w:line="240" w:lineRule="auto"/>
      </w:pPr>
      <w:rPr>
        <w:b/>
        <w:bCs/>
      </w:rPr>
      <w:tblPr/>
      <w:tcPr>
        <w:tcBorders>
          <w:top w:val="double" w:sz="6"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CFCFCF" w:themeFill="accent5" w:themeFillTint="3F"/>
      </w:tcPr>
    </w:tblStylePr>
    <w:tblStylePr w:type="band1Horz">
      <w:tblPr/>
      <w:tcPr>
        <w:tcBorders>
          <w:insideH w:val="nil"/>
          <w:insideV w:val="nil"/>
        </w:tcBorders>
        <w:shd w:val="clear" w:color="auto" w:fill="CFCF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A4826"/>
    <w:tblPr>
      <w:tblStyleRowBandSize w:val="1"/>
      <w:tblStyleColBandSize w:val="1"/>
      <w:tbl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single" w:sz="8" w:space="0" w:color="D582B8" w:themeColor="accent6" w:themeTint="BF"/>
      </w:tblBorders>
    </w:tblPr>
    <w:tblStylePr w:type="firstRow">
      <w:pPr>
        <w:spacing w:before="0" w:after="0" w:line="240" w:lineRule="auto"/>
      </w:pPr>
      <w:rPr>
        <w:b/>
        <w:bCs/>
        <w:color w:val="FFFFFF" w:themeColor="background1"/>
      </w:rPr>
      <w:tblPr/>
      <w:tcPr>
        <w:tc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nil"/>
          <w:insideV w:val="nil"/>
        </w:tcBorders>
        <w:shd w:val="clear" w:color="auto" w:fill="C859A1" w:themeFill="accent6"/>
      </w:tcPr>
    </w:tblStylePr>
    <w:tblStylePr w:type="lastRow">
      <w:pPr>
        <w:spacing w:before="0" w:after="0" w:line="240" w:lineRule="auto"/>
      </w:pPr>
      <w:rPr>
        <w:b/>
        <w:bCs/>
      </w:rPr>
      <w:tblPr/>
      <w:tcPr>
        <w:tcBorders>
          <w:top w:val="double" w:sz="6"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D5E7" w:themeFill="accent6" w:themeFillTint="3F"/>
      </w:tcPr>
    </w:tblStylePr>
    <w:tblStylePr w:type="band1Horz">
      <w:tblPr/>
      <w:tcPr>
        <w:tcBorders>
          <w:insideH w:val="nil"/>
          <w:insideV w:val="nil"/>
        </w:tcBorders>
        <w:shd w:val="clear" w:color="auto" w:fill="F1D5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C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CE39" w:themeFill="accent1"/>
      </w:tcPr>
    </w:tblStylePr>
    <w:tblStylePr w:type="lastCol">
      <w:rPr>
        <w:b/>
        <w:bCs/>
        <w:color w:val="FFFFFF" w:themeColor="background1"/>
      </w:rPr>
      <w:tblPr/>
      <w:tcPr>
        <w:tcBorders>
          <w:left w:val="nil"/>
          <w:right w:val="nil"/>
          <w:insideH w:val="nil"/>
          <w:insideV w:val="nil"/>
        </w:tcBorders>
        <w:shd w:val="clear" w:color="auto" w:fill="A6C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3953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39539" w:themeFill="accent2"/>
      </w:tcPr>
    </w:tblStylePr>
    <w:tblStylePr w:type="lastCol">
      <w:rPr>
        <w:b/>
        <w:bCs/>
        <w:color w:val="FFFFFF" w:themeColor="background1"/>
      </w:rPr>
      <w:tblPr/>
      <w:tcPr>
        <w:tcBorders>
          <w:left w:val="nil"/>
          <w:right w:val="nil"/>
          <w:insideH w:val="nil"/>
          <w:insideV w:val="nil"/>
        </w:tcBorders>
        <w:shd w:val="clear" w:color="auto" w:fill="43953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C3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C398" w:themeFill="accent3"/>
      </w:tcPr>
    </w:tblStylePr>
    <w:tblStylePr w:type="lastCol">
      <w:rPr>
        <w:b/>
        <w:bCs/>
        <w:color w:val="FFFFFF" w:themeColor="background1"/>
      </w:rPr>
      <w:tblPr/>
      <w:tcPr>
        <w:tcBorders>
          <w:left w:val="nil"/>
          <w:right w:val="nil"/>
          <w:insideH w:val="nil"/>
          <w:insideV w:val="nil"/>
        </w:tcBorders>
        <w:shd w:val="clear" w:color="auto" w:fill="A9C3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6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6A6" w:themeFill="accent4"/>
      </w:tcPr>
    </w:tblStylePr>
    <w:tblStylePr w:type="lastCol">
      <w:rPr>
        <w:b/>
        <w:bCs/>
        <w:color w:val="FFFFFF" w:themeColor="background1"/>
      </w:rPr>
      <w:tblPr/>
      <w:tcPr>
        <w:tcBorders>
          <w:left w:val="nil"/>
          <w:right w:val="nil"/>
          <w:insideH w:val="nil"/>
          <w:insideV w:val="nil"/>
        </w:tcBorders>
        <w:shd w:val="clear" w:color="auto" w:fill="A6A6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4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40" w:themeFill="accent5"/>
      </w:tcPr>
    </w:tblStylePr>
    <w:tblStylePr w:type="lastCol">
      <w:rPr>
        <w:b/>
        <w:bCs/>
        <w:color w:val="FFFFFF" w:themeColor="background1"/>
      </w:rPr>
      <w:tblPr/>
      <w:tcPr>
        <w:tcBorders>
          <w:left w:val="nil"/>
          <w:right w:val="nil"/>
          <w:insideH w:val="nil"/>
          <w:insideV w:val="nil"/>
        </w:tcBorders>
        <w:shd w:val="clear" w:color="auto" w:fill="40404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59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59A1" w:themeFill="accent6"/>
      </w:tcPr>
    </w:tblStylePr>
    <w:tblStylePr w:type="lastCol">
      <w:rPr>
        <w:b/>
        <w:bCs/>
        <w:color w:val="FFFFFF" w:themeColor="background1"/>
      </w:rPr>
      <w:tblPr/>
      <w:tcPr>
        <w:tcBorders>
          <w:left w:val="nil"/>
          <w:right w:val="nil"/>
          <w:insideH w:val="nil"/>
          <w:insideV w:val="nil"/>
        </w:tcBorders>
        <w:shd w:val="clear" w:color="auto" w:fill="C859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6A48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A48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A48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A48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A48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A48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A48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A48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A48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A48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A48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A48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A48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A48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A48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A48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A48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A48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A48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A48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A48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A48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A48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A48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A48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A48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A48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A48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A48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A48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A48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A48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A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A48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A48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A48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igurelabel">
    <w:name w:val="Figure label"/>
    <w:basedOn w:val="BodyText"/>
    <w:next w:val="BodyText"/>
    <w:uiPriority w:val="20"/>
    <w:qFormat/>
    <w:rsid w:val="00BC3216"/>
    <w:pPr>
      <w:keepNext/>
      <w:numPr>
        <w:ilvl w:val="3"/>
        <w:numId w:val="16"/>
      </w:numPr>
      <w:spacing w:before="120" w:after="120"/>
    </w:pPr>
    <w:rPr>
      <w:b/>
      <w:color w:val="004436" w:themeColor="text2"/>
    </w:rPr>
  </w:style>
  <w:style w:type="paragraph" w:customStyle="1" w:styleId="Chartlabel">
    <w:name w:val="Chart label"/>
    <w:basedOn w:val="BodyText"/>
    <w:next w:val="BodyText"/>
    <w:uiPriority w:val="19"/>
    <w:qFormat/>
    <w:rsid w:val="00BC3216"/>
    <w:pPr>
      <w:keepNext/>
      <w:numPr>
        <w:ilvl w:val="4"/>
        <w:numId w:val="16"/>
      </w:numPr>
      <w:spacing w:before="120" w:after="120"/>
    </w:pPr>
    <w:rPr>
      <w:b/>
      <w:color w:val="004436" w:themeColor="text2"/>
    </w:rPr>
  </w:style>
  <w:style w:type="paragraph" w:customStyle="1" w:styleId="Quoteattribution">
    <w:name w:val="Quote attribution"/>
    <w:basedOn w:val="Normal"/>
    <w:next w:val="BodyText"/>
    <w:uiPriority w:val="21"/>
    <w:qFormat/>
    <w:rsid w:val="00212BB4"/>
    <w:pPr>
      <w:spacing w:after="240"/>
      <w:jc w:val="right"/>
    </w:pPr>
    <w:rPr>
      <w:b/>
      <w:color w:val="004436" w:themeColor="text2"/>
    </w:rPr>
  </w:style>
  <w:style w:type="paragraph" w:customStyle="1" w:styleId="Maintextsubnumber">
    <w:name w:val="Main text sub number"/>
    <w:basedOn w:val="Maintext"/>
    <w:uiPriority w:val="1"/>
    <w:qFormat/>
    <w:rsid w:val="00733843"/>
    <w:pPr>
      <w:numPr>
        <w:ilvl w:val="2"/>
      </w:numPr>
    </w:pPr>
  </w:style>
  <w:style w:type="paragraph" w:customStyle="1" w:styleId="Table1Black">
    <w:name w:val="Table 1 Black"/>
    <w:basedOn w:val="Normal"/>
    <w:rsid w:val="00FA18B9"/>
    <w:pPr>
      <w:tabs>
        <w:tab w:val="left" w:pos="879"/>
      </w:tabs>
      <w:spacing w:after="260" w:line="260" w:lineRule="exact"/>
    </w:pPr>
    <w:rPr>
      <w:rFonts w:eastAsia="Times" w:cs="Times New Roman"/>
      <w:color w:val="131313"/>
      <w:szCs w:val="20"/>
      <w:lang w:eastAsia="zh-TW"/>
    </w:rPr>
  </w:style>
  <w:style w:type="table" w:customStyle="1" w:styleId="TableGrid10">
    <w:name w:val="Table Grid1"/>
    <w:basedOn w:val="TableNormal"/>
    <w:uiPriority w:val="99"/>
    <w:rsid w:val="00FA18B9"/>
    <w:tblP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Routing">
    <w:name w:val="Question Routing"/>
    <w:basedOn w:val="Normal"/>
    <w:next w:val="Normal"/>
    <w:rsid w:val="00FA18B9"/>
    <w:pPr>
      <w:tabs>
        <w:tab w:val="left" w:pos="879"/>
      </w:tabs>
      <w:spacing w:after="240" w:line="260" w:lineRule="exact"/>
      <w:ind w:left="539"/>
      <w:outlineLvl w:val="1"/>
    </w:pPr>
    <w:rPr>
      <w:rFonts w:eastAsia="Times" w:cs="Times New Roman"/>
      <w:caps/>
      <w:color w:val="131313"/>
      <w:szCs w:val="20"/>
      <w:lang w:eastAsia="zh-TW"/>
    </w:rPr>
  </w:style>
  <w:style w:type="paragraph" w:customStyle="1" w:styleId="QuestionFulloutRead">
    <w:name w:val="Question Fullout Read"/>
    <w:basedOn w:val="Normal"/>
    <w:next w:val="Normal"/>
    <w:rsid w:val="00FA18B9"/>
    <w:pPr>
      <w:tabs>
        <w:tab w:val="left" w:pos="879"/>
      </w:tabs>
      <w:spacing w:line="260" w:lineRule="exact"/>
      <w:ind w:left="539" w:hanging="539"/>
    </w:pPr>
    <w:rPr>
      <w:rFonts w:eastAsia="Times" w:cs="Times New Roman"/>
      <w:caps/>
      <w:color w:val="131313"/>
      <w:szCs w:val="20"/>
      <w:lang w:eastAsia="zh-TW"/>
    </w:rPr>
  </w:style>
  <w:style w:type="character" w:styleId="CommentReference">
    <w:name w:val="annotation reference"/>
    <w:basedOn w:val="DefaultParagraphFont"/>
    <w:uiPriority w:val="99"/>
    <w:semiHidden/>
    <w:rsid w:val="00A66464"/>
    <w:rPr>
      <w:sz w:val="16"/>
      <w:szCs w:val="16"/>
    </w:rPr>
  </w:style>
  <w:style w:type="paragraph" w:styleId="CommentText">
    <w:name w:val="annotation text"/>
    <w:basedOn w:val="Normal"/>
    <w:link w:val="CommentTextChar"/>
    <w:uiPriority w:val="99"/>
    <w:rsid w:val="00A66464"/>
    <w:rPr>
      <w:szCs w:val="20"/>
    </w:rPr>
  </w:style>
  <w:style w:type="character" w:customStyle="1" w:styleId="CommentTextChar">
    <w:name w:val="Comment Text Char"/>
    <w:basedOn w:val="DefaultParagraphFont"/>
    <w:link w:val="CommentText"/>
    <w:uiPriority w:val="99"/>
    <w:rsid w:val="00A66464"/>
    <w:rPr>
      <w:sz w:val="20"/>
      <w:szCs w:val="20"/>
    </w:rPr>
  </w:style>
  <w:style w:type="paragraph" w:styleId="CommentSubject">
    <w:name w:val="annotation subject"/>
    <w:basedOn w:val="CommentText"/>
    <w:next w:val="CommentText"/>
    <w:link w:val="CommentSubjectChar"/>
    <w:uiPriority w:val="99"/>
    <w:semiHidden/>
    <w:rsid w:val="00A66464"/>
    <w:rPr>
      <w:b/>
      <w:bCs/>
    </w:rPr>
  </w:style>
  <w:style w:type="character" w:customStyle="1" w:styleId="CommentSubjectChar">
    <w:name w:val="Comment Subject Char"/>
    <w:basedOn w:val="CommentTextChar"/>
    <w:link w:val="CommentSubject"/>
    <w:uiPriority w:val="99"/>
    <w:semiHidden/>
    <w:rsid w:val="00A66464"/>
    <w:rPr>
      <w:b/>
      <w:bCs/>
      <w:sz w:val="20"/>
      <w:szCs w:val="20"/>
    </w:rPr>
  </w:style>
  <w:style w:type="paragraph" w:customStyle="1" w:styleId="Level2bullet">
    <w:name w:val="Level 2 bullet"/>
    <w:basedOn w:val="Normal"/>
    <w:rsid w:val="00B37346"/>
    <w:pPr>
      <w:numPr>
        <w:numId w:val="24"/>
      </w:numPr>
      <w:tabs>
        <w:tab w:val="clear" w:pos="1069"/>
        <w:tab w:val="left" w:pos="709"/>
        <w:tab w:val="num" w:pos="879"/>
      </w:tabs>
      <w:spacing w:line="260" w:lineRule="exact"/>
    </w:pPr>
    <w:rPr>
      <w:rFonts w:eastAsia="Times" w:cs="Times New Roman"/>
      <w:b/>
      <w:color w:val="131313"/>
      <w:szCs w:val="20"/>
      <w:lang w:eastAsia="zh-TW"/>
    </w:rPr>
  </w:style>
  <w:style w:type="character" w:customStyle="1" w:styleId="ListParagraphChar">
    <w:name w:val="List Paragraph Char"/>
    <w:aliases w:val="Dot pt Char,List Paragraph Char Char Char Char,Indicator Text Char,List Paragraph1 Char,Numbered Para 1 Char,No Spacing1 Char,List Paragraph12 Char,Bullet Points Char,MAIN CONTENT Char,Bullet Style Char,OBC Bullet Char,L Char"/>
    <w:link w:val="ListParagraph"/>
    <w:uiPriority w:val="34"/>
    <w:rsid w:val="00B37346"/>
    <w:rPr>
      <w:sz w:val="20"/>
    </w:rPr>
  </w:style>
  <w:style w:type="character" w:styleId="Mention">
    <w:name w:val="Mention"/>
    <w:basedOn w:val="DefaultParagraphFont"/>
    <w:uiPriority w:val="99"/>
    <w:unhideWhenUsed/>
    <w:rsid w:val="00B8758A"/>
    <w:rPr>
      <w:color w:val="2B579A"/>
      <w:shd w:val="clear" w:color="auto" w:fill="E1DFDD"/>
    </w:rPr>
  </w:style>
  <w:style w:type="character" w:styleId="UnresolvedMention">
    <w:name w:val="Unresolved Mention"/>
    <w:basedOn w:val="DefaultParagraphFont"/>
    <w:uiPriority w:val="99"/>
    <w:semiHidden/>
    <w:unhideWhenUsed/>
    <w:rsid w:val="00B8758A"/>
    <w:rPr>
      <w:color w:val="605E5C"/>
      <w:shd w:val="clear" w:color="auto" w:fill="E1DFDD"/>
    </w:rPr>
  </w:style>
  <w:style w:type="paragraph" w:styleId="Revision">
    <w:name w:val="Revision"/>
    <w:hidden/>
    <w:uiPriority w:val="99"/>
    <w:semiHidden/>
    <w:rsid w:val="00DB4623"/>
    <w:rPr>
      <w:sz w:val="20"/>
    </w:rPr>
  </w:style>
  <w:style w:type="paragraph" w:styleId="FootnoteText">
    <w:name w:val="footnote text"/>
    <w:basedOn w:val="Normal"/>
    <w:link w:val="FootnoteTextChar"/>
    <w:uiPriority w:val="99"/>
    <w:semiHidden/>
    <w:unhideWhenUsed/>
    <w:rsid w:val="002B73D7"/>
    <w:rPr>
      <w:rFonts w:asciiTheme="minorHAnsi" w:hAnsiTheme="minorHAnsi"/>
      <w:szCs w:val="20"/>
    </w:rPr>
  </w:style>
  <w:style w:type="character" w:customStyle="1" w:styleId="FootnoteTextChar">
    <w:name w:val="Footnote Text Char"/>
    <w:basedOn w:val="DefaultParagraphFont"/>
    <w:link w:val="FootnoteText"/>
    <w:uiPriority w:val="99"/>
    <w:semiHidden/>
    <w:rsid w:val="002B73D7"/>
    <w:rPr>
      <w:rFonts w:asciiTheme="minorHAnsi" w:hAnsiTheme="minorHAnsi"/>
      <w:sz w:val="20"/>
      <w:szCs w:val="20"/>
    </w:rPr>
  </w:style>
  <w:style w:type="character" w:styleId="FootnoteReference">
    <w:name w:val="footnote reference"/>
    <w:basedOn w:val="DefaultParagraphFont"/>
    <w:uiPriority w:val="99"/>
    <w:semiHidden/>
    <w:unhideWhenUsed/>
    <w:rsid w:val="002B73D7"/>
    <w:rPr>
      <w:vertAlign w:val="superscript"/>
    </w:rPr>
  </w:style>
  <w:style w:type="table" w:styleId="GridTable1Light-Accent1">
    <w:name w:val="Grid Table 1 Light Accent 1"/>
    <w:basedOn w:val="TableNormal"/>
    <w:uiPriority w:val="46"/>
    <w:rsid w:val="00FD3C58"/>
    <w:tblPr>
      <w:tblStyleRowBandSize w:val="1"/>
      <w:tblStyleColBandSize w:val="1"/>
      <w:tblBorders>
        <w:top w:val="single" w:sz="4" w:space="0" w:color="DBEBAF" w:themeColor="accent1" w:themeTint="66"/>
        <w:left w:val="single" w:sz="4" w:space="0" w:color="DBEBAF" w:themeColor="accent1" w:themeTint="66"/>
        <w:bottom w:val="single" w:sz="4" w:space="0" w:color="DBEBAF" w:themeColor="accent1" w:themeTint="66"/>
        <w:right w:val="single" w:sz="4" w:space="0" w:color="DBEBAF" w:themeColor="accent1" w:themeTint="66"/>
        <w:insideH w:val="single" w:sz="4" w:space="0" w:color="DBEBAF" w:themeColor="accent1" w:themeTint="66"/>
        <w:insideV w:val="single" w:sz="4" w:space="0" w:color="DBEBAF" w:themeColor="accent1" w:themeTint="66"/>
      </w:tblBorders>
    </w:tblPr>
    <w:tblStylePr w:type="firstRow">
      <w:rPr>
        <w:b/>
        <w:bCs/>
      </w:rPr>
      <w:tblPr/>
      <w:tcPr>
        <w:tcBorders>
          <w:bottom w:val="single" w:sz="12" w:space="0" w:color="C9E188" w:themeColor="accent1" w:themeTint="99"/>
        </w:tcBorders>
      </w:tcPr>
    </w:tblStylePr>
    <w:tblStylePr w:type="lastRow">
      <w:rPr>
        <w:b/>
        <w:bCs/>
      </w:rPr>
      <w:tblPr/>
      <w:tcPr>
        <w:tcBorders>
          <w:top w:val="double" w:sz="2" w:space="0" w:color="C9E188" w:themeColor="accent1" w:themeTint="99"/>
        </w:tcBorders>
      </w:tcPr>
    </w:tblStylePr>
    <w:tblStylePr w:type="firstCol">
      <w:rPr>
        <w:b/>
        <w:bCs/>
      </w:rPr>
    </w:tblStylePr>
    <w:tblStylePr w:type="lastCol">
      <w:rPr>
        <w:b/>
        <w:bCs/>
      </w:rPr>
    </w:tblStylePr>
  </w:style>
  <w:style w:type="paragraph" w:customStyle="1" w:styleId="04ABodyText">
    <w:name w:val="04A Body Text"/>
    <w:basedOn w:val="Normal"/>
    <w:qFormat/>
    <w:rsid w:val="006870DA"/>
    <w:pPr>
      <w:numPr>
        <w:numId w:val="67"/>
      </w:numPr>
      <w:spacing w:before="120" w:after="240" w:line="288" w:lineRule="auto"/>
    </w:pPr>
    <w:rPr>
      <w:rFonts w:ascii="Calibri" w:hAnsi="Calibri" w:cs="Calibri"/>
      <w:sz w:val="22"/>
      <w:szCs w:val="22"/>
    </w:rPr>
  </w:style>
  <w:style w:type="numbering" w:customStyle="1" w:styleId="JayeshNavinShahEasterEgg">
    <w:name w:val="JayeshNavinShahEasterEgg"/>
    <w:uiPriority w:val="99"/>
    <w:rsid w:val="006870DA"/>
    <w:pPr>
      <w:numPr>
        <w:numId w:val="66"/>
      </w:numPr>
    </w:pPr>
  </w:style>
  <w:style w:type="paragraph" w:customStyle="1" w:styleId="06BNumberedList2ndlevel">
    <w:name w:val="06B Numbered List (2nd level)"/>
    <w:basedOn w:val="04ABodyText"/>
    <w:qFormat/>
    <w:rsid w:val="006870DA"/>
    <w:pPr>
      <w:numPr>
        <w:ilvl w:val="5"/>
      </w:numPr>
      <w:tabs>
        <w:tab w:val="num" w:pos="360"/>
        <w:tab w:val="num" w:pos="720"/>
      </w:tabs>
      <w:ind w:left="36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14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scot/publications/decision-making-children-and-young-peoples-participation/pages/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FFDFS\FileServices\Utilities\Templates\PPT\IFF%20Research%20Report.dotm" TargetMode="External"/></Relationships>
</file>

<file path=word/theme/theme1.xml><?xml version="1.0" encoding="utf-8"?>
<a:theme xmlns:a="http://schemas.openxmlformats.org/drawingml/2006/main" name="Office Theme">
  <a:themeElements>
    <a:clrScheme name="IFF Report">
      <a:dk1>
        <a:sysClr val="windowText" lastClr="000000"/>
      </a:dk1>
      <a:lt1>
        <a:sysClr val="window" lastClr="FFFFFF"/>
      </a:lt1>
      <a:dk2>
        <a:srgbClr val="004436"/>
      </a:dk2>
      <a:lt2>
        <a:srgbClr val="A6CE39"/>
      </a:lt2>
      <a:accent1>
        <a:srgbClr val="A6CE39"/>
      </a:accent1>
      <a:accent2>
        <a:srgbClr val="439539"/>
      </a:accent2>
      <a:accent3>
        <a:srgbClr val="A9C398"/>
      </a:accent3>
      <a:accent4>
        <a:srgbClr val="A6A6A6"/>
      </a:accent4>
      <a:accent5>
        <a:srgbClr val="404040"/>
      </a:accent5>
      <a:accent6>
        <a:srgbClr val="C859A1"/>
      </a:accent6>
      <a:hlink>
        <a:srgbClr val="F8971D"/>
      </a:hlink>
      <a:folHlink>
        <a:srgbClr val="EE312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84779-F262-4176-9059-1F2F0898C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IFF Research Report.dotm</Template>
  <TotalTime>56</TotalTime>
  <Pages>17</Pages>
  <Words>5924</Words>
  <Characters>33772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11029 Interim report OG</vt:lpstr>
    </vt:vector>
  </TitlesOfParts>
  <Company>IFF</Company>
  <LinksUpToDate>false</LinksUpToDate>
  <CharactersWithSpaces>39617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11029 Interim report OG</dc:title>
  <dc:subject>Blank</dc:subject>
  <dc:creator>Oliver Gooding</dc:creator>
  <cp:lastModifiedBy>Libby Eastwood</cp:lastModifiedBy>
  <cp:revision>4</cp:revision>
  <cp:lastPrinted>2016-01-04T11:39:00Z</cp:lastPrinted>
  <dcterms:created xsi:type="dcterms:W3CDTF">2021-11-04T14:50:00Z</dcterms:created>
  <dcterms:modified xsi:type="dcterms:W3CDTF">2021-11-08T12:06:00Z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Number">
    <vt:lpwstr> </vt:lpwstr>
  </property>
  <property fmtid="{D5CDD505-2E9C-101B-9397-08002B2CF9AE}" pid="3" name="Classification">
    <vt:lpwstr>Controlled</vt:lpwstr>
  </property>
  <property fmtid="{D5CDD505-2E9C-101B-9397-08002B2CF9AE}" pid="4" name="Date">
    <vt:lpwstr> </vt:lpwstr>
  </property>
  <property fmtid="{D5CDD505-2E9C-101B-9397-08002B2CF9AE}" pid="5" name="Client">
    <vt:lpwstr> </vt:lpwstr>
  </property>
</Properties>
</file>